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pacing w:lineRule="auto" w:line="480" w:before="100" w:after="0"/>
        <w:ind w:left="2741" w:right="2739" w:hanging="0"/>
        <w:rPr>
          <w:rFonts w:ascii="Arial" w:hAnsi="Arial" w:cs="Arial"/>
          <w:sz w:val="22"/>
          <w:szCs w:val="22"/>
        </w:rPr>
      </w:pPr>
      <w:r>
        <w:rPr>
          <w:rFonts w:cs="Arial" w:ascii="Arial" w:hAnsi="Arial"/>
          <w:sz w:val="22"/>
          <w:szCs w:val="22"/>
          <w:lang w:val="sr-Latn-RS"/>
        </w:rPr>
        <w:t xml:space="preserve">REPUBLIC OF SERBIA </w:t>
      </w:r>
    </w:p>
    <w:p>
      <w:pPr>
        <w:pStyle w:val="Heading1"/>
        <w:spacing w:lineRule="auto" w:line="480" w:before="100" w:after="0"/>
        <w:ind w:left="2741" w:right="2739" w:hanging="0"/>
        <w:rPr>
          <w:rFonts w:ascii="Arial" w:hAnsi="Arial" w:cs="Arial"/>
          <w:sz w:val="22"/>
          <w:szCs w:val="22"/>
        </w:rPr>
      </w:pPr>
      <w:r>
        <w:rPr>
          <w:rFonts w:cs="Arial" w:ascii="Arial" w:hAnsi="Arial"/>
          <w:sz w:val="22"/>
          <w:szCs w:val="22"/>
          <w:lang w:val="sr-Latn-RS"/>
        </w:rPr>
        <w:t xml:space="preserve">AUTONOMOUS PROVINCE OF VOJVODINA </w:t>
      </w:r>
    </w:p>
    <w:p>
      <w:pPr>
        <w:pStyle w:val="Heading1"/>
        <w:spacing w:lineRule="auto" w:line="480" w:before="100" w:after="0"/>
        <w:ind w:left="2741" w:right="2739" w:hanging="0"/>
        <w:rPr>
          <w:rFonts w:ascii="Arial" w:hAnsi="Arial" w:cs="Arial"/>
          <w:sz w:val="22"/>
          <w:szCs w:val="22"/>
          <w:lang w:val="sr-Latn-RS"/>
        </w:rPr>
      </w:pPr>
      <w:r>
        <w:rPr>
          <w:rFonts w:cs="Arial" w:ascii="Arial" w:hAnsi="Arial"/>
          <w:spacing w:val="-107"/>
          <w:sz w:val="22"/>
          <w:szCs w:val="22"/>
        </w:rPr>
        <w:t xml:space="preserve"> </w:t>
      </w:r>
      <w:r>
        <w:rPr>
          <w:rFonts w:cs="Arial" w:ascii="Arial" w:hAnsi="Arial"/>
          <w:sz w:val="22"/>
          <w:szCs w:val="22"/>
          <w:lang w:val="sr-Latn-RS"/>
        </w:rPr>
        <w:t>MUNICIPALITY OF RUMA</w:t>
      </w:r>
    </w:p>
    <w:p>
      <w:pPr>
        <w:pStyle w:val="TextBody"/>
        <w:ind w:left="0" w:hanging="0"/>
        <w:jc w:val="left"/>
        <w:rPr>
          <w:rFonts w:ascii="Arial" w:hAnsi="Arial" w:cs="Arial"/>
          <w:b/>
          <w:b/>
          <w:sz w:val="22"/>
          <w:szCs w:val="22"/>
        </w:rPr>
      </w:pPr>
      <w:r>
        <w:rPr>
          <w:rFonts w:cs="Arial" w:ascii="Arial" w:hAnsi="Arial"/>
          <w:b/>
          <w:sz w:val="22"/>
          <w:szCs w:val="22"/>
        </w:rPr>
      </w:r>
    </w:p>
    <w:p>
      <w:pPr>
        <w:pStyle w:val="TextBody"/>
        <w:spacing w:lineRule="auto" w:line="276" w:before="248" w:after="0"/>
        <w:ind w:left="114" w:right="109" w:hanging="0"/>
        <w:rPr>
          <w:rFonts w:ascii="Arial" w:hAnsi="Arial" w:cs="Arial"/>
          <w:sz w:val="22"/>
          <w:szCs w:val="22"/>
        </w:rPr>
      </w:pPr>
      <w:r>
        <w:rPr>
          <w:rFonts w:cs="Arial" w:ascii="Arial" w:hAnsi="Arial"/>
          <w:sz w:val="22"/>
          <w:szCs w:val="22"/>
          <w:lang w:val="sr-Latn-RS"/>
        </w:rPr>
        <w:t xml:space="preserve">Pursuant to Article 35, and in relation to Article 10, pararaph 1 and Article 20, paragraph 3 and Article 22 of the Law on Public-Private Partnerships and Concessions of the Republic of Serbia (Official Gazette of RS , no. 88/2011, 15/2016 and 104/2016) (henceforth </w:t>
      </w:r>
      <w:r>
        <w:rPr>
          <w:rFonts w:cs="Arial" w:ascii="Arial" w:hAnsi="Arial"/>
          <w:b/>
          <w:bCs/>
          <w:sz w:val="22"/>
          <w:szCs w:val="22"/>
          <w:lang w:val="sr-Latn-RS"/>
        </w:rPr>
        <w:t>LPPPC</w:t>
      </w:r>
      <w:r>
        <w:rPr>
          <w:rFonts w:cs="Arial" w:ascii="Arial" w:hAnsi="Arial"/>
          <w:sz w:val="22"/>
          <w:szCs w:val="22"/>
          <w:lang w:val="sr-Latn-RS"/>
        </w:rPr>
        <w:t xml:space="preserve">), Municipality of Ruma, Glavna street no.155 ,Ruma, in the role of concedent publishes this: </w:t>
      </w:r>
    </w:p>
    <w:p>
      <w:pPr>
        <w:pStyle w:val="TextBody"/>
        <w:ind w:left="0" w:hanging="0"/>
        <w:jc w:val="left"/>
        <w:rPr>
          <w:rFonts w:ascii="Arial" w:hAnsi="Arial" w:cs="Arial"/>
          <w:sz w:val="22"/>
          <w:szCs w:val="22"/>
        </w:rPr>
      </w:pPr>
      <w:r>
        <w:rPr>
          <w:rFonts w:cs="Arial" w:ascii="Arial" w:hAnsi="Arial"/>
          <w:sz w:val="22"/>
          <w:szCs w:val="22"/>
        </w:rPr>
      </w:r>
    </w:p>
    <w:p>
      <w:pPr>
        <w:pStyle w:val="TextBody"/>
        <w:ind w:left="0" w:hanging="0"/>
        <w:jc w:val="left"/>
        <w:rPr>
          <w:rFonts w:ascii="Arial" w:hAnsi="Arial" w:cs="Arial"/>
          <w:sz w:val="22"/>
          <w:szCs w:val="22"/>
        </w:rPr>
      </w:pPr>
      <w:r>
        <w:rPr>
          <w:rFonts w:cs="Arial" w:ascii="Arial" w:hAnsi="Arial"/>
          <w:sz w:val="22"/>
          <w:szCs w:val="22"/>
        </w:rPr>
      </w:r>
    </w:p>
    <w:p>
      <w:pPr>
        <w:pStyle w:val="Heading1"/>
        <w:ind w:left="2740" w:right="2740" w:hanging="0"/>
        <w:rPr>
          <w:rFonts w:ascii="Arial" w:hAnsi="Arial" w:cs="Arial"/>
          <w:sz w:val="22"/>
          <w:szCs w:val="22"/>
          <w:lang w:val="sr-Latn-RS"/>
        </w:rPr>
      </w:pPr>
      <w:r>
        <w:rPr>
          <w:rFonts w:cs="Arial" w:ascii="Arial" w:hAnsi="Arial"/>
          <w:sz w:val="22"/>
          <w:szCs w:val="22"/>
          <w:lang w:val="sr-Latn-RS"/>
        </w:rPr>
        <w:t>PUBLIC CALL</w:t>
      </w:r>
    </w:p>
    <w:p>
      <w:pPr>
        <w:pStyle w:val="TextBody"/>
        <w:ind w:left="0" w:hanging="0"/>
        <w:jc w:val="left"/>
        <w:rPr>
          <w:rFonts w:ascii="Arial" w:hAnsi="Arial" w:cs="Arial"/>
          <w:b/>
          <w:b/>
          <w:sz w:val="22"/>
          <w:szCs w:val="22"/>
        </w:rPr>
      </w:pPr>
      <w:r>
        <w:rPr>
          <w:rFonts w:cs="Arial" w:ascii="Arial" w:hAnsi="Arial"/>
          <w:b/>
          <w:sz w:val="22"/>
          <w:szCs w:val="22"/>
        </w:rPr>
      </w:r>
    </w:p>
    <w:p>
      <w:pPr>
        <w:pStyle w:val="Normal"/>
        <w:spacing w:before="1" w:after="0"/>
        <w:ind w:left="2741" w:right="2740" w:hanging="0"/>
        <w:jc w:val="center"/>
        <w:rPr>
          <w:rFonts w:ascii="Arial" w:hAnsi="Arial" w:cs="Arial"/>
        </w:rPr>
      </w:pPr>
      <w:r>
        <w:rPr>
          <w:rFonts w:cs="Arial" w:ascii="Arial" w:hAnsi="Arial"/>
          <w:lang w:val="sr-Latn-RS"/>
        </w:rPr>
        <w:t>For participating in allocation procedure for</w:t>
      </w:r>
    </w:p>
    <w:p>
      <w:pPr>
        <w:pStyle w:val="Normal"/>
        <w:spacing w:before="119" w:after="0"/>
        <w:ind w:left="250" w:right="247" w:firstLine="2"/>
        <w:jc w:val="center"/>
        <w:rPr>
          <w:rFonts w:ascii="Arial" w:hAnsi="Arial" w:cs="Arial"/>
          <w:b/>
          <w:b/>
        </w:rPr>
      </w:pPr>
      <w:r>
        <w:rPr>
          <w:rFonts w:cs="Arial" w:ascii="Arial" w:hAnsi="Arial"/>
          <w:b/>
          <w:lang w:val="sr-Latn-RS"/>
        </w:rPr>
        <w:t xml:space="preserve">CONCESSION FOR PERFORMING LINE TRANSPORTATION OF PASSENGERS AT THE TERRITORY OF THE MUNICIPALITY OF RUMA </w:t>
      </w:r>
      <w:r>
        <w:rPr>
          <w:rFonts w:cs="Arial" w:ascii="Arial" w:hAnsi="Arial"/>
          <w:b/>
          <w:lang w:val="sr-RS"/>
        </w:rPr>
        <w:t xml:space="preserve"> </w:t>
      </w:r>
    </w:p>
    <w:p>
      <w:pPr>
        <w:pStyle w:val="Normal"/>
        <w:spacing w:before="119" w:after="0"/>
        <w:ind w:left="250" w:right="247" w:firstLine="2"/>
        <w:jc w:val="center"/>
        <w:rPr>
          <w:rFonts w:ascii="Arial" w:hAnsi="Arial" w:cs="Arial"/>
          <w:b/>
          <w:b/>
        </w:rPr>
      </w:pPr>
      <w:r>
        <w:rPr>
          <w:rFonts w:cs="Arial" w:ascii="Arial" w:hAnsi="Arial"/>
          <w:b/>
          <w:lang w:val="sr-RS"/>
        </w:rPr>
        <w:t>(</w:t>
      </w:r>
      <w:r>
        <w:rPr>
          <w:rFonts w:cs="Arial" w:ascii="Arial" w:hAnsi="Arial"/>
          <w:b/>
          <w:lang w:val="sr-RS"/>
        </w:rPr>
        <w:t>404-101/23-</w:t>
      </w:r>
      <w:r>
        <w:rPr>
          <w:rFonts w:cs="Arial" w:ascii="Arial" w:hAnsi="Arial"/>
          <w:b/>
          <w:lang w:val="en-US"/>
        </w:rPr>
        <w:t>IV)</w:t>
      </w:r>
    </w:p>
    <w:p>
      <w:pPr>
        <w:pStyle w:val="TextBody"/>
        <w:ind w:left="0" w:hanging="0"/>
        <w:jc w:val="left"/>
        <w:rPr>
          <w:rFonts w:ascii="Arial" w:hAnsi="Arial" w:cs="Arial"/>
          <w:b/>
          <w:b/>
          <w:sz w:val="22"/>
          <w:szCs w:val="22"/>
        </w:rPr>
      </w:pPr>
      <w:r>
        <w:rPr>
          <w:rFonts w:cs="Arial" w:ascii="Arial" w:hAnsi="Arial"/>
          <w:b/>
          <w:sz w:val="22"/>
          <w:szCs w:val="22"/>
        </w:rPr>
      </w:r>
    </w:p>
    <w:p>
      <w:pPr>
        <w:pStyle w:val="TextBody"/>
        <w:ind w:left="0" w:hanging="0"/>
        <w:jc w:val="left"/>
        <w:rPr>
          <w:rFonts w:ascii="Arial" w:hAnsi="Arial" w:cs="Arial"/>
          <w:b/>
          <w:b/>
          <w:sz w:val="22"/>
          <w:szCs w:val="22"/>
        </w:rPr>
      </w:pPr>
      <w:r>
        <w:rPr>
          <w:rFonts w:cs="Arial" w:ascii="Arial" w:hAnsi="Arial"/>
          <w:b/>
          <w:sz w:val="22"/>
          <w:szCs w:val="22"/>
        </w:rPr>
      </w:r>
    </w:p>
    <w:p>
      <w:pPr>
        <w:pStyle w:val="TextBody"/>
        <w:spacing w:lineRule="auto" w:line="276"/>
        <w:ind w:left="113" w:right="110" w:hanging="0"/>
        <w:rPr>
          <w:rFonts w:ascii="Arial" w:hAnsi="Arial" w:cs="Arial"/>
          <w:sz w:val="22"/>
          <w:szCs w:val="22"/>
        </w:rPr>
      </w:pPr>
      <w:r>
        <w:rPr>
          <w:rFonts w:cs="Arial" w:ascii="Arial" w:hAnsi="Arial"/>
          <w:sz w:val="22"/>
          <w:szCs w:val="22"/>
          <w:lang w:val="sr-Latn-RS"/>
        </w:rPr>
        <w:t>Customer invites all interested domestic and foreign legal and physical persons who fulfill conditions from this public call („</w:t>
      </w:r>
      <w:r>
        <w:rPr>
          <w:rFonts w:cs="Arial" w:ascii="Arial" w:hAnsi="Arial"/>
          <w:b/>
          <w:bCs/>
          <w:sz w:val="22"/>
          <w:szCs w:val="22"/>
          <w:lang w:val="sr-Latn-RS"/>
        </w:rPr>
        <w:t>Public call“)</w:t>
      </w:r>
      <w:r>
        <w:rPr>
          <w:rFonts w:cs="Arial" w:ascii="Arial" w:hAnsi="Arial"/>
          <w:sz w:val="22"/>
          <w:szCs w:val="22"/>
          <w:lang w:val="sr-Latn-RS"/>
        </w:rPr>
        <w:t xml:space="preserve"> to participate in the allocation procedure for concession for performing line transportation of passengers at the territory of the Municipality of Ruma („</w:t>
      </w:r>
      <w:r>
        <w:rPr>
          <w:rFonts w:cs="Arial" w:ascii="Arial" w:hAnsi="Arial"/>
          <w:b/>
          <w:bCs/>
          <w:sz w:val="22"/>
          <w:szCs w:val="22"/>
          <w:lang w:val="sr-Latn-RS"/>
        </w:rPr>
        <w:t>Concession</w:t>
      </w:r>
      <w:r>
        <w:rPr>
          <w:rFonts w:cs="Arial" w:ascii="Arial" w:hAnsi="Arial"/>
          <w:sz w:val="22"/>
          <w:szCs w:val="22"/>
          <w:lang w:val="sr-Latn-RS"/>
        </w:rPr>
        <w:t xml:space="preserve">“). </w:t>
      </w:r>
    </w:p>
    <w:p>
      <w:pPr>
        <w:pStyle w:val="TextBody"/>
        <w:spacing w:before="4" w:after="0"/>
        <w:ind w:left="0" w:hanging="0"/>
        <w:jc w:val="left"/>
        <w:rPr>
          <w:rFonts w:ascii="Arial" w:hAnsi="Arial" w:cs="Arial"/>
          <w:sz w:val="22"/>
          <w:szCs w:val="22"/>
        </w:rPr>
      </w:pPr>
      <w:r>
        <w:rPr>
          <w:rFonts w:cs="Arial" w:ascii="Arial" w:hAnsi="Arial"/>
          <w:sz w:val="22"/>
          <w:szCs w:val="22"/>
        </w:rPr>
      </w:r>
    </w:p>
    <w:p>
      <w:pPr>
        <w:pStyle w:val="Heading2"/>
        <w:numPr>
          <w:ilvl w:val="0"/>
          <w:numId w:val="1"/>
        </w:numPr>
        <w:tabs>
          <w:tab w:val="clear" w:pos="720"/>
          <w:tab w:val="left" w:pos="794" w:leader="none"/>
          <w:tab w:val="left" w:pos="795" w:leader="none"/>
        </w:tabs>
        <w:spacing w:before="101" w:after="0"/>
        <w:rPr>
          <w:rFonts w:ascii="Arial" w:hAnsi="Arial" w:cs="Arial"/>
          <w:sz w:val="22"/>
          <w:szCs w:val="22"/>
        </w:rPr>
      </w:pPr>
      <w:r>
        <w:rPr>
          <w:rFonts w:cs="Arial" w:ascii="Arial" w:hAnsi="Arial"/>
          <w:sz w:val="22"/>
          <w:szCs w:val="22"/>
          <w:lang w:val="sr-Latn-RS"/>
        </w:rPr>
        <w:t xml:space="preserve">Concession Contracting Authority contact data </w:t>
      </w:r>
    </w:p>
    <w:p>
      <w:pPr>
        <w:pStyle w:val="TextBody"/>
        <w:ind w:left="0" w:hanging="0"/>
        <w:jc w:val="left"/>
        <w:rPr>
          <w:rFonts w:ascii="Arial" w:hAnsi="Arial" w:cs="Arial"/>
          <w:b/>
          <w:b/>
          <w:sz w:val="22"/>
          <w:szCs w:val="22"/>
        </w:rPr>
      </w:pPr>
      <w:r>
        <w:rPr>
          <w:rFonts w:cs="Arial" w:ascii="Arial" w:hAnsi="Arial"/>
          <w:b/>
          <w:sz w:val="22"/>
          <w:szCs w:val="22"/>
        </w:rPr>
      </w:r>
    </w:p>
    <w:tbl>
      <w:tblPr>
        <w:tblW w:w="7117" w:type="dxa"/>
        <w:jc w:val="left"/>
        <w:tblInd w:w="691" w:type="dxa"/>
        <w:tblCellMar>
          <w:top w:w="0" w:type="dxa"/>
          <w:left w:w="5" w:type="dxa"/>
          <w:bottom w:w="0" w:type="dxa"/>
          <w:right w:w="5" w:type="dxa"/>
        </w:tblCellMar>
        <w:tblLook w:firstRow="1" w:noVBand="0" w:lastRow="1" w:firstColumn="1" w:lastColumn="1" w:noHBand="0" w:val="01e0"/>
      </w:tblPr>
      <w:tblGrid>
        <w:gridCol w:w="7117"/>
      </w:tblGrid>
      <w:tr>
        <w:trPr>
          <w:trHeight w:val="2202" w:hRule="atLeast"/>
        </w:trPr>
        <w:tc>
          <w:tcPr>
            <w:tcW w:w="7117" w:type="dxa"/>
            <w:tcBorders>
              <w:top w:val="single" w:sz="4" w:space="0" w:color="D9D9D9"/>
              <w:left w:val="single" w:sz="4" w:space="0" w:color="D9D9D9"/>
              <w:bottom w:val="single" w:sz="4" w:space="0" w:color="D9D9D9"/>
              <w:right w:val="single" w:sz="4" w:space="0" w:color="D9D9D9"/>
            </w:tcBorders>
          </w:tcPr>
          <w:p>
            <w:pPr>
              <w:pStyle w:val="TableParagraph"/>
              <w:spacing w:before="155" w:after="0"/>
              <w:rPr>
                <w:rFonts w:ascii="Arial" w:hAnsi="Arial" w:cs="Arial"/>
                <w:b/>
                <w:b/>
                <w:lang w:val="sr-Latn-RS"/>
              </w:rPr>
            </w:pPr>
            <w:r>
              <w:rPr>
                <w:rFonts w:cs="Arial" w:ascii="Arial" w:hAnsi="Arial"/>
                <w:b/>
                <w:lang w:val="sr-Latn-RS"/>
              </w:rPr>
              <w:t>Municipality of Ruma – municipal administration</w:t>
            </w:r>
          </w:p>
          <w:p>
            <w:pPr>
              <w:pStyle w:val="TableParagraph"/>
              <w:spacing w:before="158" w:after="0"/>
              <w:rPr>
                <w:rFonts w:ascii="Arial" w:hAnsi="Arial" w:cs="Arial"/>
              </w:rPr>
            </w:pPr>
            <w:r>
              <w:rPr>
                <w:rFonts w:cs="Arial" w:ascii="Arial" w:hAnsi="Arial"/>
                <w:lang w:val="sr-Latn-RS"/>
              </w:rPr>
              <w:t xml:space="preserve">Glavna str. no. </w:t>
            </w:r>
            <w:r>
              <w:rPr>
                <w:rFonts w:cs="Arial" w:ascii="Arial" w:hAnsi="Arial"/>
              </w:rPr>
              <w:t>155</w:t>
            </w:r>
          </w:p>
          <w:p>
            <w:pPr>
              <w:pStyle w:val="TableParagraph"/>
              <w:spacing w:lineRule="atLeast" w:line="400" w:before="0" w:after="0"/>
              <w:rPr>
                <w:rFonts w:ascii="Arial" w:hAnsi="Arial" w:cs="Arial"/>
                <w:spacing w:val="1"/>
              </w:rPr>
            </w:pPr>
            <w:r>
              <w:rPr>
                <w:rFonts w:cs="Arial" w:ascii="Arial" w:hAnsi="Arial"/>
              </w:rPr>
              <w:t xml:space="preserve">22400 </w:t>
            </w:r>
            <w:r>
              <w:rPr>
                <w:rFonts w:cs="Arial" w:ascii="Arial" w:hAnsi="Arial"/>
                <w:lang w:val="sr-Latn-RS"/>
              </w:rPr>
              <w:t>Ruma</w:t>
            </w:r>
            <w:r>
              <w:rPr>
                <w:rFonts w:cs="Arial" w:ascii="Arial" w:hAnsi="Arial"/>
                <w:spacing w:val="1"/>
              </w:rPr>
              <w:t xml:space="preserve"> </w:t>
            </w:r>
          </w:p>
          <w:p>
            <w:pPr>
              <w:pStyle w:val="TableParagraph"/>
              <w:spacing w:lineRule="atLeast" w:line="400" w:before="0" w:after="0"/>
              <w:rPr>
                <w:rFonts w:ascii="Arial" w:hAnsi="Arial" w:cs="Arial"/>
              </w:rPr>
            </w:pPr>
            <w:r>
              <w:rPr>
                <w:rFonts w:cs="Arial" w:ascii="Arial" w:hAnsi="Arial"/>
                <w:lang w:val="sr-Latn-RS"/>
              </w:rPr>
              <w:t>Website</w:t>
            </w:r>
            <w:r>
              <w:rPr>
                <w:rFonts w:cs="Arial" w:ascii="Arial" w:hAnsi="Arial"/>
              </w:rPr>
              <w:t xml:space="preserve">: </w:t>
            </w:r>
            <w:hyperlink r:id="rId2">
              <w:r>
                <w:rPr>
                  <w:rStyle w:val="InternetLink"/>
                  <w:rFonts w:cs="Arial" w:ascii="Arial" w:hAnsi="Arial"/>
                </w:rPr>
                <w:t>www.ruma.rs</w:t>
              </w:r>
            </w:hyperlink>
            <w:r>
              <w:rPr>
                <w:rFonts w:cs="Arial" w:ascii="Arial" w:hAnsi="Arial"/>
              </w:rPr>
              <w:t xml:space="preserve"> </w:t>
            </w:r>
          </w:p>
          <w:p>
            <w:pPr>
              <w:pStyle w:val="TableParagraph"/>
              <w:spacing w:lineRule="atLeast" w:line="400" w:before="0" w:after="0"/>
              <w:rPr>
                <w:rFonts w:ascii="Arial" w:hAnsi="Arial" w:cs="Arial"/>
              </w:rPr>
            </w:pPr>
            <w:r>
              <w:rPr>
                <w:rFonts w:cs="Arial" w:ascii="Arial" w:hAnsi="Arial"/>
                <w:lang w:val="sr-Latn-RS"/>
              </w:rPr>
              <w:t>E-mail:</w:t>
            </w:r>
            <w:r>
              <w:rPr>
                <w:rFonts w:cs="Arial" w:ascii="Arial" w:hAnsi="Arial"/>
              </w:rPr>
              <w:t xml:space="preserve"> </w:t>
            </w:r>
            <w:hyperlink r:id="rId3">
              <w:r>
                <w:rPr>
                  <w:rStyle w:val="InternetLink"/>
                  <w:rFonts w:cs="Arial" w:ascii="Arial" w:hAnsi="Arial"/>
                </w:rPr>
                <w:t>jnbruma@ruma.rs</w:t>
              </w:r>
            </w:hyperlink>
            <w:r>
              <w:rPr>
                <w:rFonts w:cs="Arial" w:ascii="Arial" w:hAnsi="Arial"/>
              </w:rPr>
              <w:t xml:space="preserve"> </w:t>
            </w:r>
          </w:p>
        </w:tc>
      </w:tr>
    </w:tbl>
    <w:p>
      <w:pPr>
        <w:pStyle w:val="ListParagraph"/>
        <w:numPr>
          <w:ilvl w:val="0"/>
          <w:numId w:val="1"/>
        </w:numPr>
        <w:tabs>
          <w:tab w:val="clear" w:pos="720"/>
          <w:tab w:val="left" w:pos="794" w:leader="none"/>
          <w:tab w:val="left" w:pos="795" w:leader="none"/>
        </w:tabs>
        <w:rPr>
          <w:rFonts w:ascii="Arial" w:hAnsi="Arial" w:cs="Arial"/>
          <w:b/>
          <w:b/>
        </w:rPr>
      </w:pPr>
      <w:r>
        <w:rPr>
          <w:rFonts w:cs="Arial" w:ascii="Arial" w:hAnsi="Arial"/>
          <w:b/>
          <w:lang w:val="sr-Latn-RS"/>
        </w:rPr>
        <w:t>Data on Concession</w:t>
      </w:r>
    </w:p>
    <w:p>
      <w:pPr>
        <w:pStyle w:val="ListParagraph"/>
        <w:numPr>
          <w:ilvl w:val="1"/>
          <w:numId w:val="1"/>
        </w:numPr>
        <w:tabs>
          <w:tab w:val="clear" w:pos="720"/>
          <w:tab w:val="left" w:pos="795" w:leader="none"/>
        </w:tabs>
        <w:spacing w:before="122" w:after="0"/>
        <w:ind w:left="794" w:hanging="682"/>
        <w:rPr>
          <w:rFonts w:ascii="Arial" w:hAnsi="Arial" w:cs="Arial"/>
        </w:rPr>
      </w:pPr>
      <w:r>
        <w:rPr>
          <w:rFonts w:cs="Arial" w:ascii="Arial" w:hAnsi="Arial"/>
          <w:lang w:val="sr-Latn-RS"/>
        </w:rPr>
        <w:t>Subject of Concession/nature and scope of concession activity</w:t>
      </w:r>
    </w:p>
    <w:p>
      <w:pPr>
        <w:pStyle w:val="TextBody"/>
        <w:spacing w:lineRule="auto" w:line="276" w:before="157" w:after="0"/>
        <w:ind w:left="794" w:right="109" w:hanging="0"/>
        <w:rPr>
          <w:rFonts w:ascii="Arial" w:hAnsi="Arial" w:cs="Arial"/>
          <w:sz w:val="22"/>
          <w:szCs w:val="22"/>
          <w:lang w:val="sr-Latn-RS"/>
        </w:rPr>
      </w:pPr>
      <w:r>
        <w:rPr>
          <w:rFonts w:cs="Arial" w:ascii="Arial" w:hAnsi="Arial"/>
          <w:sz w:val="22"/>
          <w:szCs w:val="22"/>
          <w:lang w:val="sr-Latn-RS"/>
        </w:rPr>
        <w:t>Subject of Concession is allocation of public (line) transportation of passengers at the territory of the Municipality of Ruma (henceforth „</w:t>
      </w:r>
      <w:r>
        <w:rPr>
          <w:rFonts w:cs="Arial" w:ascii="Arial" w:hAnsi="Arial"/>
          <w:b/>
          <w:bCs/>
          <w:sz w:val="22"/>
          <w:szCs w:val="22"/>
          <w:lang w:val="sr-Latn-RS"/>
        </w:rPr>
        <w:t>Project</w:t>
      </w:r>
      <w:r>
        <w:rPr>
          <w:rFonts w:cs="Arial" w:ascii="Arial" w:hAnsi="Arial"/>
          <w:sz w:val="22"/>
          <w:szCs w:val="22"/>
          <w:lang w:val="sr-Latn-RS"/>
        </w:rPr>
        <w:t>“).</w:t>
      </w:r>
    </w:p>
    <w:p>
      <w:pPr>
        <w:pStyle w:val="TextBody"/>
        <w:spacing w:lineRule="auto" w:line="276" w:before="121" w:after="0"/>
        <w:ind w:left="794" w:right="107" w:hanging="0"/>
        <w:rPr>
          <w:rFonts w:ascii="Arial" w:hAnsi="Arial" w:cs="Arial"/>
          <w:sz w:val="22"/>
          <w:szCs w:val="22"/>
        </w:rPr>
      </w:pPr>
      <w:r>
        <w:rPr>
          <w:rFonts w:cs="Arial" w:ascii="Arial" w:hAnsi="Arial"/>
          <w:sz w:val="22"/>
          <w:szCs w:val="22"/>
          <w:lang w:val="sr-Latn-RS"/>
        </w:rPr>
        <w:t>The Municipality, its municipal administration, acting as public body who manages public line transportation at the territory of the Municipality of Ruma in its jurisdiction, starts this procedure of concession allocation („</w:t>
      </w:r>
      <w:r>
        <w:rPr>
          <w:rFonts w:cs="Arial" w:ascii="Arial" w:hAnsi="Arial"/>
          <w:b/>
          <w:bCs/>
          <w:sz w:val="22"/>
          <w:szCs w:val="22"/>
          <w:lang w:val="sr-Latn-RS"/>
        </w:rPr>
        <w:t>Procedure of Concession Allocation</w:t>
      </w:r>
      <w:r>
        <w:rPr>
          <w:rFonts w:cs="Arial" w:ascii="Arial" w:hAnsi="Arial"/>
          <w:sz w:val="22"/>
          <w:szCs w:val="22"/>
          <w:lang w:val="sr-Latn-RS"/>
        </w:rPr>
        <w:t xml:space="preserve">“). Concession is allocated to a private partner through concession contract upon completion of procedure of concession allocation and selection of best price offer. </w:t>
      </w:r>
    </w:p>
    <w:p>
      <w:pPr>
        <w:pStyle w:val="ListParagraph"/>
        <w:numPr>
          <w:ilvl w:val="1"/>
          <w:numId w:val="1"/>
        </w:numPr>
        <w:tabs>
          <w:tab w:val="clear" w:pos="720"/>
          <w:tab w:val="left" w:pos="795" w:leader="none"/>
        </w:tabs>
        <w:spacing w:before="123" w:after="0"/>
        <w:ind w:left="794" w:hanging="682"/>
        <w:rPr>
          <w:rFonts w:ascii="Arial" w:hAnsi="Arial" w:cs="Arial"/>
        </w:rPr>
      </w:pPr>
      <w:r>
        <w:rPr>
          <w:rFonts w:cs="Arial" w:ascii="Arial" w:hAnsi="Arial"/>
          <w:lang w:val="sr-Latn-RS"/>
        </w:rPr>
        <w:t xml:space="preserve">Place of performing Concession </w:t>
      </w:r>
    </w:p>
    <w:p>
      <w:pPr>
        <w:pStyle w:val="TextBody"/>
        <w:spacing w:lineRule="auto" w:line="276" w:before="157" w:after="0"/>
        <w:ind w:left="794" w:right="109" w:hanging="0"/>
        <w:rPr>
          <w:rFonts w:ascii="Arial" w:hAnsi="Arial" w:cs="Arial"/>
          <w:sz w:val="22"/>
          <w:szCs w:val="22"/>
        </w:rPr>
      </w:pPr>
      <w:r>
        <w:rPr>
          <w:rFonts w:cs="Arial" w:ascii="Arial" w:hAnsi="Arial"/>
          <w:sz w:val="22"/>
          <w:szCs w:val="22"/>
          <w:lang w:val="sr-Latn-RS"/>
        </w:rPr>
        <w:t>Place of performing concession activity included in Concession is located at the territory of the Municipality of Ruma.</w:t>
      </w:r>
    </w:p>
    <w:p>
      <w:pPr>
        <w:pStyle w:val="ListParagraph"/>
        <w:numPr>
          <w:ilvl w:val="1"/>
          <w:numId w:val="1"/>
        </w:numPr>
        <w:tabs>
          <w:tab w:val="clear" w:pos="720"/>
          <w:tab w:val="left" w:pos="795" w:leader="none"/>
        </w:tabs>
        <w:spacing w:before="116" w:after="0"/>
        <w:ind w:left="794" w:hanging="682"/>
        <w:rPr>
          <w:rFonts w:ascii="Arial" w:hAnsi="Arial" w:cs="Arial"/>
        </w:rPr>
      </w:pPr>
      <w:r>
        <w:rPr>
          <w:rFonts w:cs="Arial" w:ascii="Arial" w:hAnsi="Arial"/>
          <w:lang w:val="sr-Latn-RS"/>
        </w:rPr>
        <w:t>Deadline of concession duration</w:t>
      </w:r>
    </w:p>
    <w:p>
      <w:pPr>
        <w:pStyle w:val="TextBody"/>
        <w:spacing w:before="158" w:after="0"/>
        <w:rPr>
          <w:rFonts w:ascii="Arial" w:hAnsi="Arial" w:cs="Arial"/>
          <w:sz w:val="22"/>
          <w:szCs w:val="22"/>
        </w:rPr>
      </w:pPr>
      <w:r>
        <w:rPr>
          <w:rFonts w:cs="Arial" w:ascii="Arial" w:hAnsi="Arial"/>
          <w:sz w:val="22"/>
          <w:szCs w:val="22"/>
          <w:lang w:val="sr-Latn-RS"/>
        </w:rPr>
        <w:t>Deadline of concession duration is 10 (ten) years</w:t>
      </w:r>
    </w:p>
    <w:p>
      <w:pPr>
        <w:pStyle w:val="ListParagraph"/>
        <w:numPr>
          <w:ilvl w:val="0"/>
          <w:numId w:val="1"/>
        </w:numPr>
        <w:tabs>
          <w:tab w:val="clear" w:pos="720"/>
          <w:tab w:val="left" w:pos="794" w:leader="none"/>
          <w:tab w:val="left" w:pos="795" w:leader="none"/>
        </w:tabs>
        <w:ind w:left="794" w:hanging="682"/>
        <w:rPr>
          <w:rFonts w:ascii="Arial" w:hAnsi="Arial" w:cs="Arial"/>
          <w:b/>
          <w:b/>
        </w:rPr>
      </w:pPr>
      <w:r>
        <w:rPr>
          <w:rFonts w:cs="Arial" w:ascii="Arial" w:hAnsi="Arial"/>
          <w:b/>
          <w:lang w:val="sr-Latn-RS"/>
        </w:rPr>
        <w:t>Minimal technical, financial and experiential qualifications which the procedure participant has to fulfill in order to be enabled to participate in selection procedure and instructions on manner of providing relevant evidence</w:t>
      </w:r>
      <w:r>
        <w:rPr>
          <w:rFonts w:cs="Arial" w:ascii="Arial" w:hAnsi="Arial"/>
          <w:b/>
        </w:rPr>
        <w:t xml:space="preserve"> </w:t>
      </w:r>
    </w:p>
    <w:p>
      <w:pPr>
        <w:pStyle w:val="Normal"/>
        <w:tabs>
          <w:tab w:val="clear" w:pos="720"/>
          <w:tab w:val="left" w:pos="794" w:leader="none"/>
          <w:tab w:val="left" w:pos="795" w:leader="none"/>
        </w:tabs>
        <w:ind w:left="112" w:hanging="0"/>
        <w:rPr>
          <w:rFonts w:ascii="Arial" w:hAnsi="Arial" w:cs="Arial"/>
          <w:b/>
          <w:b/>
        </w:rPr>
      </w:pPr>
      <w:r>
        <w:rPr>
          <w:rFonts w:cs="Arial" w:ascii="Arial" w:hAnsi="Arial"/>
          <w:b/>
        </w:rPr>
      </w:r>
    </w:p>
    <w:p>
      <w:pPr>
        <w:pStyle w:val="Normal"/>
        <w:widowControl/>
        <w:numPr>
          <w:ilvl w:val="0"/>
          <w:numId w:val="17"/>
        </w:numPr>
        <w:spacing w:lineRule="auto" w:line="259" w:before="0" w:after="160"/>
        <w:ind w:left="720" w:hanging="436"/>
        <w:jc w:val="both"/>
        <w:rPr>
          <w:rFonts w:ascii="Arial" w:hAnsi="Arial" w:eastAsia="Calibri" w:cs="Arial"/>
          <w:b/>
          <w:b/>
          <w:bCs/>
        </w:rPr>
      </w:pPr>
      <w:r>
        <w:rPr>
          <w:rFonts w:eastAsia="Calibri" w:cs="Arial" w:ascii="Arial" w:hAnsi="Arial"/>
          <w:b/>
          <w:bCs/>
          <w:lang w:val="sr-Latn-RS"/>
        </w:rPr>
        <w:t xml:space="preserve">Grounds for exclusion </w:t>
      </w:r>
    </w:p>
    <w:p>
      <w:pPr>
        <w:pStyle w:val="Normal"/>
        <w:widowControl/>
        <w:numPr>
          <w:ilvl w:val="1"/>
          <w:numId w:val="18"/>
        </w:numPr>
        <w:spacing w:lineRule="atLeast" w:line="100" w:before="0" w:after="120"/>
        <w:ind w:left="1354" w:hanging="720"/>
        <w:jc w:val="both"/>
        <w:rPr>
          <w:rFonts w:ascii="Arial" w:hAnsi="Arial" w:eastAsia="Calibri" w:cs="Arial"/>
        </w:rPr>
      </w:pPr>
      <w:r>
        <w:rPr>
          <w:rFonts w:eastAsia="Calibri" w:cs="Arial" w:ascii="Arial" w:hAnsi="Arial"/>
          <w:lang w:val="sr-Latn-RS"/>
        </w:rPr>
        <w:t>Obligatory grounds for exclusion:</w:t>
      </w:r>
    </w:p>
    <w:p>
      <w:pPr>
        <w:pStyle w:val="Normal"/>
        <w:spacing w:before="0" w:after="160"/>
        <w:ind w:left="1260" w:hanging="270"/>
        <w:jc w:val="both"/>
        <w:rPr>
          <w:rFonts w:ascii="Arial" w:hAnsi="Arial" w:eastAsia="Calibri" w:cs="Arial"/>
        </w:rPr>
      </w:pPr>
      <w:r>
        <w:rPr>
          <w:rFonts w:eastAsia="Calibri" w:cs="Arial" w:ascii="Arial" w:hAnsi="Arial"/>
        </w:rPr>
        <w:t xml:space="preserve">1) </w:t>
      </w:r>
      <w:r>
        <w:rPr>
          <w:rFonts w:eastAsia="Calibri" w:cs="Arial" w:ascii="Arial" w:hAnsi="Arial"/>
          <w:lang w:val="sr-Latn-RS"/>
        </w:rPr>
        <w:t xml:space="preserve">if </w:t>
      </w:r>
      <w:r>
        <w:rPr>
          <w:rFonts w:eastAsia="Calibri" w:cs="Arial" w:ascii="Arial" w:hAnsi="Arial"/>
        </w:rPr>
        <w:t xml:space="preserve">the company </w:t>
      </w:r>
      <w:r>
        <w:rPr>
          <w:rFonts w:eastAsia="Calibri" w:cs="Arial" w:ascii="Arial" w:hAnsi="Arial"/>
          <w:lang w:val="sr-Latn-RS"/>
        </w:rPr>
        <w:t xml:space="preserve">fails to prove that it and its legal representative have not been prosecuted in five preceding years period starting from the day of announcing the public call in the „Official Gazette of RS“, unless the judgement absolute defines another period of forbidding participation in the public procurement procedure for the following: </w:t>
      </w:r>
      <w:r>
        <w:rPr>
          <w:rFonts w:eastAsia="Calibri" w:cs="Arial" w:ascii="Arial" w:hAnsi="Arial"/>
        </w:rPr>
        <w:t xml:space="preserve"> </w:t>
      </w:r>
    </w:p>
    <w:p>
      <w:pPr>
        <w:pStyle w:val="Normal"/>
        <w:spacing w:before="0" w:after="160"/>
        <w:ind w:left="1260" w:hanging="270"/>
        <w:jc w:val="both"/>
        <w:rPr>
          <w:rFonts w:ascii="Arial" w:hAnsi="Arial" w:eastAsia="Calibri" w:cs="Arial"/>
        </w:rPr>
      </w:pPr>
      <w:r>
        <w:rPr>
          <w:rFonts w:eastAsia="Calibri" w:cs="Arial" w:ascii="Arial" w:hAnsi="Arial"/>
        </w:rPr>
        <w:t xml:space="preserve">(1) </w:t>
      </w:r>
      <w:r>
        <w:rPr>
          <w:rFonts w:eastAsia="Calibri" w:cs="Arial" w:ascii="Arial" w:hAnsi="Arial"/>
          <w:lang w:val="sr-Latn-RS"/>
        </w:rPr>
        <w:t xml:space="preserve">criminal activities performed as member of criminal groups and criminal act of associating for performing criminal activities; </w:t>
      </w:r>
    </w:p>
    <w:p>
      <w:pPr>
        <w:pStyle w:val="Normal"/>
        <w:spacing w:before="0" w:after="160"/>
        <w:ind w:left="1260" w:hanging="270"/>
        <w:jc w:val="both"/>
        <w:rPr>
          <w:rFonts w:ascii="Arial" w:hAnsi="Arial" w:eastAsia="Calibri" w:cs="Arial"/>
        </w:rPr>
      </w:pPr>
      <w:r>
        <w:rPr>
          <w:rFonts w:eastAsia="Calibri" w:cs="Arial" w:ascii="Arial" w:hAnsi="Arial"/>
        </w:rPr>
        <w:t xml:space="preserve">(2) </w:t>
      </w:r>
      <w:r>
        <w:rPr>
          <w:rFonts w:eastAsia="Calibri" w:cs="Arial" w:ascii="Arial" w:hAnsi="Arial"/>
          <w:lang w:val="sr-Latn-RS"/>
        </w:rPr>
        <w:t xml:space="preserve">criminal act of misusing position of responsible person, misusing in acts of public procurement, criminal acts of taking bribe in perfrorming business activities, misuing of official position, criminal act of influence trading, taking and giving bribe, criminal act of cheating, criminal act of unground getting and using loans and other incentives, cheating in performing business activities and criminal act of </w:t>
      </w:r>
      <w:r>
        <w:rPr>
          <w:rFonts w:eastAsia="Calibri" w:cs="Arial" w:ascii="Arial" w:hAnsi="Arial"/>
        </w:rPr>
        <w:t xml:space="preserve">tax evasion, </w:t>
      </w:r>
      <w:r>
        <w:rPr>
          <w:rFonts w:eastAsia="Calibri" w:cs="Arial" w:ascii="Arial" w:hAnsi="Arial"/>
          <w:lang w:val="sr-Latn-RS"/>
        </w:rPr>
        <w:t xml:space="preserve">criminal act of terrorism, public asking to performing acts of terrorism and criminal act of terroristic association, money laundering, finacing terrorism, criminal act of human trafficking and criminal act of establishing slavery relations  and transportation of persons in slavery relations;  </w:t>
      </w:r>
    </w:p>
    <w:p>
      <w:pPr>
        <w:pStyle w:val="Normal"/>
        <w:spacing w:before="0" w:after="160"/>
        <w:ind w:left="1260" w:hanging="270"/>
        <w:jc w:val="both"/>
        <w:rPr>
          <w:rFonts w:ascii="Arial" w:hAnsi="Arial" w:eastAsia="Calibri" w:cs="Arial"/>
        </w:rPr>
      </w:pPr>
      <w:r>
        <w:rPr>
          <w:rFonts w:eastAsia="Calibri" w:cs="Arial" w:ascii="Arial" w:hAnsi="Arial"/>
          <w:b/>
          <w:lang w:val="sr-Latn-RS"/>
        </w:rPr>
        <w:t>Evidence</w:t>
      </w:r>
      <w:r>
        <w:rPr>
          <w:rFonts w:eastAsia="Calibri" w:cs="Arial" w:ascii="Arial" w:hAnsi="Arial"/>
          <w:b/>
        </w:rPr>
        <w:t xml:space="preserve">: </w:t>
      </w:r>
      <w:r>
        <w:rPr>
          <w:rFonts w:eastAsia="Calibri" w:cs="Arial" w:ascii="Arial" w:hAnsi="Arial"/>
          <w:bCs/>
          <w:lang w:val="sr-Latn-RS"/>
        </w:rPr>
        <w:t>Confirmation issued by courts i.e. police departments in jurisdiction.</w:t>
      </w:r>
      <w:r>
        <w:rPr>
          <w:rFonts w:eastAsia="Calibri" w:cs="Arial" w:ascii="Arial" w:hAnsi="Arial"/>
          <w:b/>
          <w:lang w:val="sr-Latn-RS"/>
        </w:rPr>
        <w:t xml:space="preserve"> </w:t>
      </w:r>
      <w:r>
        <w:rPr>
          <w:rFonts w:eastAsia="Calibri" w:cs="Arial" w:ascii="Arial" w:hAnsi="Arial"/>
          <w:lang w:val="sr-Latn-RS"/>
        </w:rPr>
        <w:t xml:space="preserve">If the </w:t>
      </w:r>
      <w:r>
        <w:rPr>
          <w:rFonts w:eastAsia="Calibri" w:cs="Arial" w:ascii="Arial" w:hAnsi="Arial"/>
        </w:rPr>
        <w:t>привредни субјект</w:t>
      </w:r>
      <w:r>
        <w:rPr>
          <w:rFonts w:eastAsia="Calibri" w:cs="Arial" w:ascii="Arial" w:hAnsi="Arial"/>
          <w:lang w:val="sr-Latn-RS"/>
        </w:rPr>
        <w:t xml:space="preserve"> is listed in Register of tenderers of the Business Registers Agency, it is not required to submit evidence. </w:t>
      </w:r>
    </w:p>
    <w:p>
      <w:pPr>
        <w:pStyle w:val="Normal"/>
        <w:spacing w:before="0" w:after="160"/>
        <w:ind w:left="1260" w:hanging="270"/>
        <w:jc w:val="both"/>
        <w:rPr>
          <w:rFonts w:ascii="Arial" w:hAnsi="Arial" w:eastAsia="Calibri" w:cs="Arial"/>
        </w:rPr>
      </w:pPr>
      <w:r>
        <w:rPr>
          <w:rFonts w:eastAsia="Calibri" w:cs="Arial" w:ascii="Arial" w:hAnsi="Arial"/>
        </w:rPr>
        <w:t xml:space="preserve">2) </w:t>
      </w:r>
      <w:r>
        <w:rPr>
          <w:rFonts w:eastAsia="Calibri" w:cs="Arial" w:ascii="Arial" w:hAnsi="Arial"/>
          <w:lang w:val="sr-Latn-RS"/>
        </w:rPr>
        <w:t>if the</w:t>
      </w:r>
      <w:r>
        <w:rPr>
          <w:rFonts w:eastAsia="Calibri" w:cs="Arial" w:ascii="Arial" w:hAnsi="Arial"/>
        </w:rPr>
        <w:t xml:space="preserve"> company</w:t>
      </w:r>
      <w:r>
        <w:rPr>
          <w:rFonts w:eastAsia="Calibri" w:cs="Arial" w:ascii="Arial" w:hAnsi="Arial"/>
          <w:lang w:val="sr-Latn-RS"/>
        </w:rPr>
        <w:t xml:space="preserve"> fails to prove that it has paid taxes and social insurance contribution or that it has been released from paying debts, including all interest and finalcial penalties upon some binding agreement or solution, in line with special regulations;  </w:t>
      </w:r>
      <w:r>
        <w:rPr>
          <w:rFonts w:eastAsia="Calibri" w:cs="Arial" w:ascii="Arial" w:hAnsi="Arial"/>
        </w:rPr>
        <w:t xml:space="preserve"> </w:t>
      </w:r>
    </w:p>
    <w:p>
      <w:pPr>
        <w:pStyle w:val="Normal"/>
        <w:spacing w:before="0" w:after="160"/>
        <w:ind w:left="1260" w:hanging="270"/>
        <w:jc w:val="both"/>
        <w:rPr>
          <w:rFonts w:ascii="Arial" w:hAnsi="Arial" w:eastAsia="Calibri" w:cs="Arial"/>
        </w:rPr>
      </w:pPr>
      <w:r>
        <w:rPr>
          <w:rFonts w:eastAsia="Calibri" w:cs="Arial" w:ascii="Arial" w:hAnsi="Arial"/>
          <w:b/>
          <w:lang w:val="sr-Latn-RS"/>
        </w:rPr>
        <w:t>Evidence</w:t>
      </w:r>
      <w:r>
        <w:rPr>
          <w:rFonts w:eastAsia="Calibri" w:cs="Arial" w:ascii="Arial" w:hAnsi="Arial"/>
          <w:b/>
        </w:rPr>
        <w:t>:</w:t>
      </w:r>
      <w:r>
        <w:rPr>
          <w:rFonts w:eastAsia="Calibri" w:cs="Arial" w:ascii="Arial" w:hAnsi="Arial"/>
        </w:rPr>
        <w:t xml:space="preserve"> </w:t>
      </w:r>
      <w:r>
        <w:rPr>
          <w:rFonts w:eastAsia="Calibri" w:cs="Arial" w:ascii="Arial" w:hAnsi="Arial"/>
          <w:lang w:val="sr-Latn-RS"/>
        </w:rPr>
        <w:t xml:space="preserve">Confirmation issued by authorized tax authority and confirmation issued by local self-government tax administration that the tenderer has fulfilled public income and obligatory social security sharges obligations or confirmation of body in charge that the tenderer is in the process of privatization.   If the </w:t>
      </w:r>
      <w:r>
        <w:rPr>
          <w:rFonts w:eastAsia="Calibri" w:cs="Arial" w:ascii="Arial" w:hAnsi="Arial"/>
        </w:rPr>
        <w:t>company</w:t>
      </w:r>
      <w:r>
        <w:rPr>
          <w:rFonts w:eastAsia="Calibri" w:cs="Arial" w:ascii="Arial" w:hAnsi="Arial"/>
          <w:lang w:val="sr-Latn-RS"/>
        </w:rPr>
        <w:t xml:space="preserve"> is listed in Register of tenderers of the Business Registers Agency, it is not required to submit evidence. Confirmations cannot be older than 30 days from the day of announcing public call in the „Official Gazette of RS“. </w:t>
      </w:r>
      <w:r>
        <w:rPr>
          <w:rFonts w:eastAsia="Calibri" w:cs="Arial" w:ascii="Arial" w:hAnsi="Arial"/>
        </w:rPr>
        <w:t xml:space="preserve"> </w:t>
      </w:r>
    </w:p>
    <w:p>
      <w:pPr>
        <w:pStyle w:val="Normal"/>
        <w:spacing w:before="0" w:after="160"/>
        <w:ind w:left="1260" w:hanging="270"/>
        <w:jc w:val="both"/>
        <w:rPr>
          <w:rFonts w:ascii="Arial" w:hAnsi="Arial" w:eastAsia="Calibri" w:cs="Arial"/>
        </w:rPr>
      </w:pPr>
      <w:r>
        <w:rPr>
          <w:rFonts w:eastAsia="Calibri" w:cs="Arial" w:ascii="Arial" w:hAnsi="Arial"/>
        </w:rPr>
        <w:t xml:space="preserve">3) </w:t>
      </w:r>
      <w:r>
        <w:rPr>
          <w:rFonts w:eastAsia="Calibri" w:cs="Arial" w:ascii="Arial" w:hAnsi="Arial"/>
          <w:lang w:val="sr-Latn-RS"/>
        </w:rPr>
        <w:t xml:space="preserve">if in 2 preceding years period from the day of submitting offers deadline expiry, the </w:t>
      </w:r>
      <w:r>
        <w:rPr>
          <w:rFonts w:eastAsia="Calibri" w:cs="Arial" w:ascii="Arial" w:hAnsi="Arial"/>
        </w:rPr>
        <w:t xml:space="preserve">Contracting Authority </w:t>
      </w:r>
      <w:r>
        <w:rPr>
          <w:rFonts w:eastAsia="Calibri" w:cs="Arial" w:ascii="Arial" w:hAnsi="Arial"/>
          <w:lang w:val="sr-Latn-RS"/>
        </w:rPr>
        <w:t xml:space="preserve">determines that </w:t>
      </w:r>
      <w:r>
        <w:rPr>
          <w:rFonts w:eastAsia="Calibri" w:cs="Arial" w:ascii="Arial" w:hAnsi="Arial"/>
        </w:rPr>
        <w:t>the company</w:t>
      </w:r>
      <w:r>
        <w:rPr>
          <w:rFonts w:eastAsia="Calibri" w:cs="Arial" w:ascii="Arial" w:hAnsi="Arial"/>
          <w:lang w:val="sr-Latn-RS"/>
        </w:rPr>
        <w:t xml:space="preserve"> has breached obligations in the area of environmental protection, social and work law, including collective contracts, especially the obligation of paying contracted profits or other obligatory payments, also including obligations in line with provisions of international conventions which are listed in Annex 8 of the Law on Public Procurement  </w:t>
      </w:r>
      <w:r>
        <w:rPr>
          <w:rFonts w:eastAsia="Calibri" w:cs="Arial" w:ascii="Arial" w:hAnsi="Arial"/>
        </w:rPr>
        <w:t xml:space="preserve"> </w:t>
      </w:r>
    </w:p>
    <w:p>
      <w:pPr>
        <w:pStyle w:val="Normal"/>
        <w:spacing w:before="0" w:after="160"/>
        <w:ind w:left="1260" w:hanging="270"/>
        <w:jc w:val="both"/>
        <w:rPr>
          <w:rFonts w:ascii="Arial" w:hAnsi="Arial" w:eastAsia="Calibri" w:cs="Arial"/>
        </w:rPr>
      </w:pPr>
      <w:r>
        <w:rPr>
          <w:rFonts w:eastAsia="Calibri" w:cs="Arial" w:ascii="Arial" w:hAnsi="Arial"/>
        </w:rPr>
        <w:t xml:space="preserve">4) </w:t>
      </w:r>
      <w:r>
        <w:rPr>
          <w:rFonts w:eastAsia="Calibri" w:cs="Arial" w:ascii="Arial" w:hAnsi="Arial"/>
          <w:lang w:val="sr-Latn-RS"/>
        </w:rPr>
        <w:t xml:space="preserve">if there is conflict of interest, as understood in the Law on Public Procurement, which cannot be removed with other measures; </w:t>
      </w:r>
    </w:p>
    <w:p>
      <w:pPr>
        <w:pStyle w:val="Normal"/>
        <w:spacing w:before="0" w:after="160"/>
        <w:ind w:left="1260" w:hanging="270"/>
        <w:jc w:val="both"/>
        <w:rPr>
          <w:rFonts w:ascii="Arial" w:hAnsi="Arial" w:eastAsia="Calibri" w:cs="Arial"/>
        </w:rPr>
      </w:pPr>
      <w:r>
        <w:rPr>
          <w:rFonts w:eastAsia="Calibri" w:cs="Arial" w:ascii="Arial" w:hAnsi="Arial"/>
        </w:rPr>
        <w:t xml:space="preserve">5) </w:t>
      </w:r>
      <w:r>
        <w:rPr>
          <w:rFonts w:eastAsia="Calibri" w:cs="Arial" w:ascii="Arial" w:hAnsi="Arial"/>
          <w:lang w:val="sr-Latn-RS"/>
        </w:rPr>
        <w:t>if</w:t>
      </w:r>
      <w:r>
        <w:rPr>
          <w:rFonts w:eastAsia="Calibri" w:cs="Arial" w:ascii="Arial" w:hAnsi="Arial"/>
        </w:rPr>
        <w:t xml:space="preserve"> the Contracting Authority</w:t>
      </w:r>
      <w:r>
        <w:rPr>
          <w:rFonts w:eastAsia="Calibri" w:cs="Arial" w:ascii="Arial" w:hAnsi="Arial"/>
          <w:lang w:val="sr-Latn-RS"/>
        </w:rPr>
        <w:t xml:space="preserve"> determines that </w:t>
      </w:r>
      <w:r>
        <w:rPr>
          <w:rFonts w:eastAsia="Calibri" w:cs="Arial" w:ascii="Arial" w:hAnsi="Arial"/>
        </w:rPr>
        <w:t xml:space="preserve">the company </w:t>
      </w:r>
      <w:r>
        <w:rPr>
          <w:rFonts w:eastAsia="Calibri" w:cs="Arial" w:ascii="Arial" w:hAnsi="Arial"/>
          <w:lang w:val="sr-Latn-RS"/>
        </w:rPr>
        <w:t xml:space="preserve">has tried to influence the decision making process of the naručioca, or has tried to reach classified data which could provide advantage in the public procurement procedure, or has submit deceiving data which can affect decisions concerning the exclusion of </w:t>
      </w:r>
      <w:r>
        <w:rPr>
          <w:rFonts w:eastAsia="Calibri" w:cs="Arial" w:ascii="Arial" w:hAnsi="Arial"/>
        </w:rPr>
        <w:t xml:space="preserve">the company </w:t>
      </w:r>
      <w:r>
        <w:rPr>
          <w:rFonts w:eastAsia="Calibri" w:cs="Arial" w:ascii="Arial" w:hAnsi="Arial"/>
          <w:lang w:val="sr-Latn-RS"/>
        </w:rPr>
        <w:t xml:space="preserve">selection of </w:t>
      </w:r>
      <w:r>
        <w:rPr>
          <w:rFonts w:eastAsia="Calibri" w:cs="Arial" w:ascii="Arial" w:hAnsi="Arial"/>
        </w:rPr>
        <w:t xml:space="preserve"> the company </w:t>
      </w:r>
      <w:r>
        <w:rPr>
          <w:rFonts w:eastAsia="Calibri" w:cs="Arial" w:ascii="Arial" w:hAnsi="Arial"/>
          <w:lang w:val="sr-Latn-RS"/>
        </w:rPr>
        <w:t>or contract allocation.</w:t>
      </w:r>
      <w:r>
        <w:rPr>
          <w:rFonts w:eastAsia="Calibri" w:cs="Arial" w:ascii="Arial" w:hAnsi="Arial"/>
        </w:rPr>
        <w:t xml:space="preserve">. </w:t>
      </w:r>
    </w:p>
    <w:p>
      <w:pPr>
        <w:pStyle w:val="Normal"/>
        <w:spacing w:before="0" w:after="160"/>
        <w:ind w:left="1260" w:hanging="270"/>
        <w:jc w:val="both"/>
        <w:rPr>
          <w:rFonts w:ascii="Arial" w:hAnsi="Arial" w:eastAsia="Calibri" w:cs="Arial"/>
        </w:rPr>
      </w:pPr>
      <w:r>
        <w:rPr>
          <w:rFonts w:eastAsia="Calibri" w:cs="Arial" w:ascii="Arial" w:hAnsi="Arial"/>
          <w:b/>
          <w:lang w:val="sr-Latn-RS"/>
        </w:rPr>
        <w:t>Evidence</w:t>
      </w:r>
      <w:r>
        <w:rPr>
          <w:rFonts w:eastAsia="Calibri" w:cs="Arial" w:ascii="Arial" w:hAnsi="Arial"/>
          <w:b/>
        </w:rPr>
        <w:t>:</w:t>
      </w:r>
      <w:r>
        <w:rPr>
          <w:rFonts w:eastAsia="Calibri" w:cs="Arial" w:ascii="Arial" w:hAnsi="Arial"/>
        </w:rPr>
        <w:t xml:space="preserve"> </w:t>
      </w:r>
      <w:r>
        <w:rPr>
          <w:rFonts w:eastAsia="Calibri" w:cs="Arial" w:ascii="Arial" w:hAnsi="Arial"/>
          <w:lang w:val="sr-Latn-RS"/>
        </w:rPr>
        <w:t xml:space="preserve">Statement of </w:t>
      </w:r>
      <w:r>
        <w:rPr>
          <w:rFonts w:eastAsia="Calibri" w:cs="Arial" w:ascii="Arial" w:hAnsi="Arial"/>
        </w:rPr>
        <w:t xml:space="preserve">the company, </w:t>
      </w:r>
      <w:r>
        <w:rPr>
          <w:rFonts w:eastAsia="Calibri" w:cs="Arial" w:ascii="Arial" w:hAnsi="Arial"/>
          <w:lang w:val="sr-Latn-RS"/>
        </w:rPr>
        <w:t xml:space="preserve">signed by legal person, confirming that there are no exclusion grounds listed under points </w:t>
      </w:r>
      <w:r>
        <w:rPr>
          <w:rFonts w:eastAsia="Calibri" w:cs="Arial" w:ascii="Arial" w:hAnsi="Arial"/>
        </w:rPr>
        <w:t xml:space="preserve">3), 4) </w:t>
      </w:r>
      <w:r>
        <w:rPr>
          <w:rFonts w:eastAsia="Calibri" w:cs="Arial" w:ascii="Arial" w:hAnsi="Arial"/>
          <w:lang w:val="sr-Latn-RS"/>
        </w:rPr>
        <w:t>and</w:t>
      </w:r>
      <w:r>
        <w:rPr>
          <w:rFonts w:eastAsia="Calibri" w:cs="Arial" w:ascii="Arial" w:hAnsi="Arial"/>
        </w:rPr>
        <w:t xml:space="preserve"> 5). </w:t>
      </w:r>
    </w:p>
    <w:p>
      <w:pPr>
        <w:pStyle w:val="Normal"/>
        <w:widowControl/>
        <w:numPr>
          <w:ilvl w:val="1"/>
          <w:numId w:val="19"/>
        </w:numPr>
        <w:spacing w:lineRule="auto" w:line="259" w:before="0" w:after="120"/>
        <w:ind w:left="1354" w:hanging="720"/>
        <w:jc w:val="both"/>
        <w:rPr>
          <w:rFonts w:ascii="Arial" w:hAnsi="Arial" w:eastAsia="Calibri" w:cs="Arial"/>
        </w:rPr>
      </w:pPr>
      <w:r>
        <w:rPr>
          <w:rFonts w:eastAsia="Calibri" w:cs="Arial" w:ascii="Arial" w:hAnsi="Arial"/>
          <w:lang w:val="sr-Latn-RS"/>
        </w:rPr>
        <w:t>Facultative grounds for exclusion</w:t>
      </w:r>
      <w:r>
        <w:rPr>
          <w:rFonts w:eastAsia="Calibri" w:cs="Arial" w:ascii="Arial" w:hAnsi="Arial"/>
        </w:rPr>
        <w:t xml:space="preserve">: </w:t>
      </w:r>
    </w:p>
    <w:p>
      <w:pPr>
        <w:pStyle w:val="Normal"/>
        <w:widowControl/>
        <w:numPr>
          <w:ilvl w:val="0"/>
          <w:numId w:val="4"/>
        </w:numPr>
        <w:spacing w:before="0" w:after="160"/>
        <w:ind w:left="1350" w:hanging="270"/>
        <w:jc w:val="both"/>
        <w:rPr>
          <w:rFonts w:ascii="Arial" w:hAnsi="Arial" w:eastAsia="Calibri" w:cs="Arial"/>
        </w:rPr>
      </w:pPr>
      <w:r>
        <w:rPr>
          <w:rFonts w:eastAsia="Calibri" w:cs="Arial" w:ascii="Arial" w:hAnsi="Arial"/>
          <w:lang w:val="sr-Latn-RS"/>
        </w:rPr>
        <w:t xml:space="preserve">if  in 3 preceding years period from the day of submitting offers deadline expiry, the </w:t>
      </w:r>
      <w:r>
        <w:rPr>
          <w:rFonts w:eastAsia="Calibri" w:cs="Arial" w:ascii="Arial" w:hAnsi="Arial"/>
        </w:rPr>
        <w:t xml:space="preserve"> Наручилац</w:t>
      </w:r>
      <w:r>
        <w:rPr>
          <w:rFonts w:eastAsia="Calibri" w:cs="Arial" w:ascii="Arial" w:hAnsi="Arial"/>
          <w:lang w:val="sr-Latn-RS"/>
        </w:rPr>
        <w:t xml:space="preserve"> determines that </w:t>
      </w:r>
      <w:r>
        <w:rPr>
          <w:rFonts w:eastAsia="Calibri" w:cs="Arial" w:ascii="Arial" w:hAnsi="Arial"/>
        </w:rPr>
        <w:t xml:space="preserve"> привредни субјект</w:t>
      </w:r>
      <w:r>
        <w:rPr>
          <w:rFonts w:eastAsia="Calibri" w:cs="Arial" w:ascii="Arial" w:hAnsi="Arial"/>
          <w:lang w:val="sr-Latn-RS"/>
        </w:rPr>
        <w:t xml:space="preserve"> has not fulfilled obligations from previously public procurement signed contracts or previously signed concession contracts, whose consequence was the termination of such contracts, charging sredstva obezbeđenja, naknada štete or other</w:t>
      </w:r>
      <w:r>
        <w:rPr>
          <w:rFonts w:eastAsia="Calibri" w:cs="Arial" w:ascii="Arial" w:hAnsi="Arial"/>
        </w:rPr>
        <w:t>;</w:t>
      </w:r>
    </w:p>
    <w:p>
      <w:pPr>
        <w:pStyle w:val="Normal"/>
        <w:spacing w:before="0" w:after="160"/>
        <w:ind w:left="1260" w:hanging="270"/>
        <w:jc w:val="both"/>
        <w:rPr>
          <w:rFonts w:ascii="Arial" w:hAnsi="Arial" w:eastAsia="Calibri" w:cs="Arial"/>
        </w:rPr>
      </w:pPr>
      <w:r>
        <w:rPr>
          <w:rFonts w:eastAsia="Calibri" w:cs="Arial" w:ascii="Arial" w:hAnsi="Arial"/>
          <w:b/>
          <w:bCs/>
          <w:lang w:val="sr-Latn-RS"/>
        </w:rPr>
        <w:t>Evidence</w:t>
      </w:r>
      <w:r>
        <w:rPr>
          <w:rFonts w:eastAsia="Calibri" w:cs="Arial" w:ascii="Arial" w:hAnsi="Arial"/>
          <w:b/>
          <w:bCs/>
        </w:rPr>
        <w:t>:</w:t>
      </w:r>
      <w:r>
        <w:rPr>
          <w:rFonts w:eastAsia="Calibri" w:cs="Arial" w:ascii="Arial" w:hAnsi="Arial"/>
        </w:rPr>
        <w:t xml:space="preserve"> </w:t>
      </w:r>
      <w:r>
        <w:rPr>
          <w:rFonts w:eastAsia="Calibri" w:cs="Arial" w:ascii="Arial" w:hAnsi="Arial"/>
          <w:lang w:val="sr-Latn-RS"/>
        </w:rPr>
        <w:t xml:space="preserve">Statement of </w:t>
      </w:r>
      <w:r>
        <w:rPr>
          <w:rFonts w:eastAsia="Calibri" w:cs="Arial" w:ascii="Arial" w:hAnsi="Arial"/>
        </w:rPr>
        <w:t xml:space="preserve">the company, </w:t>
      </w:r>
      <w:r>
        <w:rPr>
          <w:rFonts w:eastAsia="Calibri" w:cs="Arial" w:ascii="Arial" w:hAnsi="Arial"/>
          <w:lang w:val="sr-Latn-RS"/>
        </w:rPr>
        <w:t>signed by legal person, confirming that there are no exclusion grounds listed under point 1</w:t>
      </w:r>
      <w:r>
        <w:rPr>
          <w:rFonts w:eastAsia="Calibri" w:cs="Arial" w:ascii="Arial" w:hAnsi="Arial"/>
        </w:rPr>
        <w:t xml:space="preserve">). </w:t>
      </w:r>
    </w:p>
    <w:p>
      <w:pPr>
        <w:pStyle w:val="Normal"/>
        <w:ind w:firstLine="720"/>
        <w:jc w:val="both"/>
        <w:rPr>
          <w:rFonts w:ascii="Arial" w:hAnsi="Arial" w:eastAsia="Calibri" w:cs="Arial"/>
        </w:rPr>
      </w:pPr>
      <w:r>
        <w:rPr>
          <w:rFonts w:eastAsia="Calibri" w:cs="Arial" w:ascii="Arial" w:hAnsi="Arial"/>
        </w:rPr>
      </w:r>
    </w:p>
    <w:p>
      <w:pPr>
        <w:pStyle w:val="Normal"/>
        <w:widowControl/>
        <w:numPr>
          <w:ilvl w:val="0"/>
          <w:numId w:val="20"/>
        </w:numPr>
        <w:spacing w:lineRule="auto" w:line="259" w:before="0" w:after="160"/>
        <w:ind w:left="720" w:hanging="436"/>
        <w:jc w:val="both"/>
        <w:rPr>
          <w:rFonts w:ascii="Arial" w:hAnsi="Arial" w:eastAsia="Calibri" w:cs="Arial"/>
          <w:b/>
          <w:b/>
          <w:bCs/>
        </w:rPr>
      </w:pPr>
      <w:r>
        <w:rPr>
          <w:rFonts w:eastAsia="Calibri" w:cs="Arial" w:ascii="Arial" w:hAnsi="Arial"/>
          <w:b/>
          <w:bCs/>
          <w:lang w:val="sr-Latn-RS"/>
        </w:rPr>
        <w:t xml:space="preserve">Capacities </w:t>
      </w:r>
    </w:p>
    <w:p>
      <w:pPr>
        <w:pStyle w:val="Normal"/>
        <w:ind w:left="1354" w:hanging="634"/>
        <w:jc w:val="both"/>
        <w:rPr>
          <w:rFonts w:ascii="Arial" w:hAnsi="Arial" w:eastAsia="Calibri" w:cs="Arial"/>
        </w:rPr>
      </w:pPr>
      <w:r>
        <w:rPr>
          <w:rFonts w:eastAsia="Calibri" w:cs="Arial" w:ascii="Arial" w:hAnsi="Arial"/>
          <w:b/>
          <w:bCs/>
        </w:rPr>
        <w:t xml:space="preserve">2.1 </w:t>
        <w:tab/>
        <w:tab/>
      </w:r>
      <w:r>
        <w:rPr>
          <w:rFonts w:eastAsia="Calibri" w:cs="Arial" w:ascii="Arial" w:hAnsi="Arial"/>
          <w:b/>
          <w:bCs/>
          <w:lang w:val="sr-Latn-RS"/>
        </w:rPr>
        <w:t xml:space="preserve">Fulfillment of conditions for performing professional business activity </w:t>
      </w:r>
    </w:p>
    <w:p>
      <w:pPr>
        <w:pStyle w:val="Normal"/>
        <w:ind w:left="1354" w:hanging="634"/>
        <w:jc w:val="both"/>
        <w:rPr>
          <w:rFonts w:ascii="Arial" w:hAnsi="Arial" w:eastAsia="Calibri" w:cs="Arial"/>
        </w:rPr>
      </w:pPr>
      <w:r>
        <w:rPr>
          <w:rFonts w:eastAsia="Calibri" w:cs="Arial" w:ascii="Arial" w:hAnsi="Arial"/>
        </w:rPr>
        <w:tab/>
      </w:r>
    </w:p>
    <w:p>
      <w:pPr>
        <w:pStyle w:val="Normal"/>
        <w:widowControl/>
        <w:numPr>
          <w:ilvl w:val="0"/>
          <w:numId w:val="3"/>
        </w:numPr>
        <w:spacing w:lineRule="auto" w:line="259" w:before="120" w:after="0"/>
        <w:ind w:left="1701" w:hanging="567"/>
        <w:contextualSpacing/>
        <w:jc w:val="both"/>
        <w:rPr>
          <w:rFonts w:ascii="Arial" w:hAnsi="Arial" w:eastAsia="Calibri" w:cs="Arial"/>
          <w:bCs/>
          <w:iCs/>
        </w:rPr>
      </w:pPr>
      <w:r>
        <w:rPr>
          <w:rFonts w:eastAsia="Calibri" w:cs="Arial" w:ascii="Arial" w:hAnsi="Arial"/>
        </w:rPr>
        <w:t xml:space="preserve">The company </w:t>
      </w:r>
      <w:r>
        <w:rPr>
          <w:rFonts w:eastAsia="Calibri" w:cs="Arial" w:ascii="Arial" w:hAnsi="Arial"/>
          <w:lang w:val="sr-Latn-RS"/>
        </w:rPr>
        <w:t xml:space="preserve">has to own valid licence for performing line transportation of passengers. </w:t>
      </w:r>
    </w:p>
    <w:p>
      <w:pPr>
        <w:pStyle w:val="Normal"/>
        <w:spacing w:before="120" w:after="0"/>
        <w:ind w:left="1979" w:hanging="561"/>
        <w:jc w:val="both"/>
        <w:rPr>
          <w:rFonts w:ascii="Arial" w:hAnsi="Arial" w:cs="Arial"/>
          <w:iCs/>
        </w:rPr>
      </w:pPr>
      <w:r>
        <w:rPr>
          <w:rFonts w:eastAsia="Calibri" w:cs="Arial" w:ascii="Arial" w:hAnsi="Arial"/>
          <w:b/>
          <w:lang w:val="sr-Latn-RS"/>
        </w:rPr>
        <w:t>Evidence</w:t>
      </w:r>
      <w:r>
        <w:rPr>
          <w:rFonts w:eastAsia="Calibri" w:cs="Arial" w:ascii="Arial" w:hAnsi="Arial"/>
          <w:b/>
        </w:rPr>
        <w:t>:</w:t>
      </w:r>
      <w:r>
        <w:rPr>
          <w:rFonts w:eastAsia="Calibri" w:cs="Arial" w:ascii="Arial" w:hAnsi="Arial"/>
        </w:rPr>
        <w:t xml:space="preserve"> а)</w:t>
      </w:r>
      <w:r>
        <w:rPr>
          <w:rFonts w:eastAsia="Calibri" w:cs="Arial" w:ascii="Arial" w:hAnsi="Arial"/>
          <w:lang w:val="sr-Latn-RS"/>
        </w:rPr>
        <w:t xml:space="preserve"> Valid licence issued by Ministry of Construction, Traffic and Infrastructure. </w:t>
      </w:r>
      <w:r>
        <w:rPr>
          <w:rFonts w:eastAsia="Calibri" w:cs="Arial" w:ascii="Arial" w:hAnsi="Arial"/>
        </w:rPr>
        <w:t xml:space="preserve"> </w:t>
      </w:r>
    </w:p>
    <w:p>
      <w:pPr>
        <w:pStyle w:val="ListParagraph"/>
        <w:ind w:left="1354" w:hanging="634"/>
        <w:rPr>
          <w:rFonts w:ascii="Arial" w:hAnsi="Arial" w:cs="Arial"/>
          <w:b/>
          <w:b/>
          <w:bCs/>
          <w:lang w:val="sr-Latn-RS"/>
        </w:rPr>
      </w:pPr>
      <w:r>
        <w:rPr>
          <w:rFonts w:eastAsia="Calibri" w:cs="Arial" w:ascii="Arial" w:hAnsi="Arial"/>
          <w:b/>
          <w:bCs/>
        </w:rPr>
        <w:t xml:space="preserve">2.2 </w:t>
      </w:r>
      <w:r>
        <w:rPr>
          <w:rFonts w:cs="Arial" w:ascii="Arial" w:hAnsi="Arial"/>
          <w:b/>
          <w:bCs/>
        </w:rPr>
        <w:t xml:space="preserve">     </w:t>
      </w:r>
      <w:r>
        <w:rPr>
          <w:rFonts w:cs="Arial" w:ascii="Arial" w:hAnsi="Arial"/>
          <w:b/>
          <w:lang w:val="sr-Latn-RS"/>
        </w:rPr>
        <w:t>Financial and economic capacity</w:t>
      </w:r>
    </w:p>
    <w:p>
      <w:pPr>
        <w:pStyle w:val="Normal"/>
        <w:spacing w:before="120" w:after="0"/>
        <w:ind w:left="1701" w:hanging="567"/>
        <w:jc w:val="both"/>
        <w:rPr>
          <w:rFonts w:ascii="Arial" w:hAnsi="Arial" w:eastAsia="Calibri" w:cs="Arial"/>
        </w:rPr>
      </w:pPr>
      <w:r>
        <w:rPr>
          <w:rFonts w:cs="Arial" w:ascii="Arial" w:hAnsi="Arial"/>
          <w:bCs/>
        </w:rPr>
        <w:t xml:space="preserve">1)    </w:t>
      </w:r>
      <w:r>
        <w:rPr>
          <w:rFonts w:cs="Arial" w:ascii="Arial" w:hAnsi="Arial"/>
          <w:bCs/>
          <w:lang w:val="sr-Latn-RS"/>
        </w:rPr>
        <w:t xml:space="preserve">That in the last three financial years (2020, 2021 and 2022) the tenderer had total minimal incomes in the minimal amount of </w:t>
      </w:r>
      <w:r>
        <w:rPr>
          <w:rFonts w:cs="Arial" w:ascii="Arial" w:hAnsi="Arial"/>
          <w:color w:val="000000" w:themeColor="text1"/>
        </w:rPr>
        <w:t xml:space="preserve">1.000.000.000,00 </w:t>
      </w:r>
      <w:r>
        <w:rPr>
          <w:rFonts w:cs="Arial" w:ascii="Arial" w:hAnsi="Arial"/>
          <w:color w:val="000000" w:themeColor="text1"/>
          <w:lang w:val="sr-Latn-RS"/>
        </w:rPr>
        <w:t>rsd</w:t>
      </w:r>
      <w:r>
        <w:rPr>
          <w:rFonts w:eastAsia="Calibri" w:cs="Arial" w:ascii="Arial" w:hAnsi="Arial"/>
          <w:color w:val="000000" w:themeColor="text1"/>
        </w:rPr>
        <w:t>.</w:t>
      </w:r>
      <w:r>
        <w:rPr>
          <w:rFonts w:eastAsia="Calibri" w:cs="Arial" w:ascii="Arial" w:hAnsi="Arial"/>
        </w:rPr>
        <w:t xml:space="preserve"> </w:t>
      </w:r>
    </w:p>
    <w:p>
      <w:pPr>
        <w:pStyle w:val="Normal"/>
        <w:spacing w:before="120" w:after="0"/>
        <w:ind w:left="1985" w:hanging="567"/>
        <w:jc w:val="both"/>
        <w:rPr>
          <w:rFonts w:ascii="Arial" w:hAnsi="Arial" w:eastAsia="Calibri" w:cs="Arial"/>
        </w:rPr>
      </w:pPr>
      <w:r>
        <w:rPr>
          <w:rFonts w:eastAsia="Calibri" w:cs="Arial" w:ascii="Arial" w:hAnsi="Arial"/>
          <w:b/>
          <w:lang w:val="sr-Latn-RS"/>
        </w:rPr>
        <w:t>Evidence</w:t>
      </w:r>
      <w:r>
        <w:rPr>
          <w:rFonts w:eastAsia="Calibri" w:cs="Arial" w:ascii="Arial" w:hAnsi="Arial"/>
          <w:b/>
        </w:rPr>
        <w:t>:</w:t>
      </w:r>
      <w:r>
        <w:rPr>
          <w:rFonts w:eastAsia="Calibri" w:cs="Arial" w:ascii="Arial" w:hAnsi="Arial"/>
        </w:rPr>
        <w:t xml:space="preserve"> Credit report issued by </w:t>
      </w:r>
      <w:r>
        <w:rPr>
          <w:rFonts w:eastAsia="Calibri" w:cs="Arial" w:ascii="Arial" w:hAnsi="Arial"/>
          <w:lang w:val="sr-Latn-RS"/>
        </w:rPr>
        <w:t xml:space="preserve">Business Registers Agency (form </w:t>
      </w:r>
      <w:r>
        <w:rPr>
          <w:rFonts w:eastAsia="Calibri" w:cs="Arial" w:ascii="Arial" w:hAnsi="Arial"/>
        </w:rPr>
        <w:t xml:space="preserve">БОН-ЈН) </w:t>
      </w:r>
      <w:r>
        <w:rPr>
          <w:rFonts w:eastAsia="Calibri" w:cs="Arial" w:ascii="Arial" w:hAnsi="Arial"/>
          <w:lang w:val="sr-Latn-RS"/>
        </w:rPr>
        <w:t xml:space="preserve">or balance sheet. If these data is publicly available, it is not required to submit evidence. </w:t>
      </w:r>
    </w:p>
    <w:p>
      <w:pPr>
        <w:pStyle w:val="Normal"/>
        <w:ind w:left="1440" w:hanging="0"/>
        <w:jc w:val="both"/>
        <w:rPr>
          <w:rFonts w:ascii="Arial" w:hAnsi="Arial" w:eastAsia="Calibri" w:cs="Arial"/>
        </w:rPr>
      </w:pPr>
      <w:r>
        <w:rPr>
          <w:rFonts w:eastAsia="Calibri" w:cs="Arial" w:ascii="Arial" w:hAnsi="Arial"/>
        </w:rPr>
      </w:r>
    </w:p>
    <w:p>
      <w:pPr>
        <w:pStyle w:val="Normal"/>
        <w:spacing w:before="0" w:after="160"/>
        <w:ind w:left="1260" w:hanging="270"/>
        <w:jc w:val="both"/>
        <w:rPr>
          <w:rFonts w:ascii="Arial" w:hAnsi="Arial" w:eastAsia="Calibri" w:cs="Arial"/>
        </w:rPr>
      </w:pPr>
      <w:r>
        <w:rPr>
          <w:rFonts w:eastAsia="Calibri" w:cs="Arial" w:ascii="Arial" w:hAnsi="Arial"/>
        </w:rPr>
        <w:t>2)</w:t>
      </w:r>
      <w:r>
        <w:rPr>
          <w:rFonts w:eastAsia="Calibri" w:cs="Arial" w:ascii="Arial" w:hAnsi="Arial"/>
          <w:b/>
        </w:rPr>
        <w:t xml:space="preserve">  </w:t>
      </w:r>
      <w:r>
        <w:rPr>
          <w:rFonts w:eastAsia="Calibri" w:cs="Arial" w:ascii="Arial" w:hAnsi="Arial"/>
          <w:bCs/>
          <w:lang w:val="sr-Latn-RS"/>
        </w:rPr>
        <w:t>That in the last six months before the</w:t>
      </w:r>
      <w:r>
        <w:rPr>
          <w:rFonts w:eastAsia="Calibri" w:cs="Arial" w:ascii="Arial" w:hAnsi="Arial"/>
          <w:lang w:val="sr-Latn-RS"/>
        </w:rPr>
        <w:t xml:space="preserve"> day of announcing public call in the „Official Gazette of RS“, the tenderer was not non-liquidated for a single day. If these data is publicly available, it is not required to submit evidence.</w:t>
      </w:r>
    </w:p>
    <w:p>
      <w:pPr>
        <w:pStyle w:val="Normal"/>
        <w:spacing w:before="120" w:after="0"/>
        <w:ind w:left="1985" w:hanging="567"/>
        <w:jc w:val="both"/>
        <w:rPr>
          <w:rFonts w:ascii="Arial" w:hAnsi="Arial" w:eastAsia="Calibri" w:cs="Arial"/>
        </w:rPr>
      </w:pPr>
      <w:r>
        <w:rPr>
          <w:rFonts w:cs="Arial" w:ascii="Arial" w:hAnsi="Arial"/>
          <w:b/>
          <w:lang w:val="sr-Latn-RS"/>
        </w:rPr>
        <w:t>Evidence</w:t>
      </w:r>
      <w:r>
        <w:rPr>
          <w:rFonts w:cs="Arial" w:ascii="Arial" w:hAnsi="Arial"/>
          <w:b/>
        </w:rPr>
        <w:t>:</w:t>
      </w:r>
      <w:r>
        <w:rPr>
          <w:rFonts w:cs="Arial" w:ascii="Arial" w:hAnsi="Arial"/>
        </w:rPr>
        <w:t xml:space="preserve"> </w:t>
      </w:r>
      <w:r>
        <w:rPr>
          <w:rFonts w:cs="Arial" w:ascii="Arial" w:hAnsi="Arial"/>
          <w:lang w:val="sr-Latn-RS"/>
        </w:rPr>
        <w:t xml:space="preserve">Confirmation issued by the National Bank of Serbia that </w:t>
      </w:r>
      <w:r>
        <w:rPr>
          <w:rFonts w:eastAsia="Calibri" w:cs="Arial" w:ascii="Arial" w:hAnsi="Arial"/>
          <w:bCs/>
          <w:lang w:val="sr-Latn-RS"/>
        </w:rPr>
        <w:t>in the last six months before the</w:t>
      </w:r>
      <w:r>
        <w:rPr>
          <w:rFonts w:eastAsia="Calibri" w:cs="Arial" w:ascii="Arial" w:hAnsi="Arial"/>
          <w:lang w:val="sr-Latn-RS"/>
        </w:rPr>
        <w:t xml:space="preserve"> day of announcing public call in the „Official Gazette of RS“the tenderer was not </w:t>
      </w:r>
      <w:r>
        <w:rPr>
          <w:rFonts w:cs="Arial" w:ascii="Arial" w:hAnsi="Arial"/>
          <w:lang w:val="sr-Latn-RS"/>
        </w:rPr>
        <w:t xml:space="preserve"> </w:t>
      </w:r>
      <w:r>
        <w:rPr>
          <w:rFonts w:cs="Arial" w:ascii="Arial" w:hAnsi="Arial"/>
        </w:rPr>
        <w:t>non-liquidated</w:t>
      </w:r>
      <w:r>
        <w:rPr>
          <w:rFonts w:cs="Arial" w:ascii="Arial" w:hAnsi="Arial"/>
          <w:lang w:val="sr-Latn-RS"/>
        </w:rPr>
        <w:t xml:space="preserve"> for a single day</w:t>
      </w:r>
      <w:r>
        <w:rPr>
          <w:rFonts w:cs="Arial" w:ascii="Arial" w:hAnsi="Arial"/>
        </w:rPr>
        <w:t xml:space="preserve">. </w:t>
      </w:r>
      <w:r>
        <w:rPr>
          <w:rFonts w:eastAsia="Calibri" w:cs="Arial" w:ascii="Arial" w:hAnsi="Arial"/>
          <w:lang w:val="sr-Latn-RS"/>
        </w:rPr>
        <w:t>If these data is publicly available, it is not required to submit evidence.</w:t>
      </w:r>
    </w:p>
    <w:p>
      <w:pPr>
        <w:pStyle w:val="Normal"/>
        <w:spacing w:before="120" w:after="0"/>
        <w:ind w:left="1440" w:hanging="720"/>
        <w:contextualSpacing/>
        <w:jc w:val="both"/>
        <w:rPr>
          <w:rFonts w:ascii="Arial" w:hAnsi="Arial" w:eastAsia="Calibri" w:cs="Arial"/>
          <w:b/>
          <w:b/>
          <w:bCs/>
        </w:rPr>
      </w:pPr>
      <w:r>
        <w:rPr>
          <w:rFonts w:eastAsia="Calibri" w:cs="Arial" w:ascii="Arial" w:hAnsi="Arial"/>
          <w:b/>
          <w:bCs/>
        </w:rPr>
      </w:r>
    </w:p>
    <w:p>
      <w:pPr>
        <w:pStyle w:val="Normal"/>
        <w:spacing w:before="120" w:after="0"/>
        <w:ind w:left="1276" w:hanging="556"/>
        <w:contextualSpacing/>
        <w:jc w:val="both"/>
        <w:rPr>
          <w:rFonts w:ascii="Arial" w:hAnsi="Arial" w:eastAsia="Calibri" w:cs="Arial"/>
          <w:b/>
          <w:b/>
          <w:lang w:val="sr-Latn-RS"/>
        </w:rPr>
      </w:pPr>
      <w:r>
        <w:rPr>
          <w:rFonts w:eastAsia="Calibri" w:cs="Arial" w:ascii="Arial" w:hAnsi="Arial"/>
          <w:b/>
          <w:bCs/>
        </w:rPr>
        <w:t>2.3</w:t>
      </w:r>
      <w:r>
        <w:rPr>
          <w:rFonts w:eastAsia="Calibri" w:cs="Arial" w:ascii="Arial" w:hAnsi="Arial"/>
          <w:bCs/>
        </w:rPr>
        <w:t xml:space="preserve">      </w:t>
      </w:r>
      <w:r>
        <w:rPr>
          <w:rFonts w:eastAsia="Calibri" w:cs="Arial" w:ascii="Arial" w:hAnsi="Arial"/>
          <w:b/>
          <w:lang w:val="sr-Latn-RS"/>
        </w:rPr>
        <w:t>Technical and expert capacity</w:t>
      </w:r>
    </w:p>
    <w:p>
      <w:pPr>
        <w:pStyle w:val="ListParagraph"/>
        <w:widowControl/>
        <w:numPr>
          <w:ilvl w:val="0"/>
          <w:numId w:val="5"/>
        </w:numPr>
        <w:spacing w:before="120" w:after="120"/>
        <w:ind w:left="1701" w:hanging="567"/>
        <w:contextualSpacing/>
        <w:rPr>
          <w:rFonts w:ascii="Arial" w:hAnsi="Arial" w:eastAsia="Calibri" w:cs="Arial"/>
          <w:b/>
          <w:b/>
          <w:bCs/>
          <w:i/>
          <w:i/>
          <w:iCs/>
          <w:strike/>
          <w:color w:val="000000" w:themeColor="text1"/>
        </w:rPr>
      </w:pPr>
      <w:r>
        <w:rPr>
          <w:rFonts w:eastAsia="Calibri" w:cs="Arial" w:ascii="Arial" w:hAnsi="Arial"/>
          <w:color w:val="000000" w:themeColor="text1"/>
          <w:lang w:val="sr-Latn-RS"/>
        </w:rPr>
        <w:t xml:space="preserve">That the tenderer has realized at least one contract of city and </w:t>
      </w:r>
      <w:r>
        <w:rPr>
          <w:rFonts w:eastAsia="Calibri" w:cs="Arial" w:ascii="Arial" w:hAnsi="Arial"/>
          <w:color w:val="000000" w:themeColor="text1"/>
        </w:rPr>
        <w:t xml:space="preserve">suburban </w:t>
      </w:r>
      <w:r>
        <w:rPr>
          <w:rFonts w:eastAsia="Calibri" w:cs="Arial" w:ascii="Arial" w:hAnsi="Arial"/>
          <w:color w:val="000000" w:themeColor="text1"/>
          <w:lang w:val="sr-Latn-RS"/>
        </w:rPr>
        <w:t xml:space="preserve">line transportation at the territory of the unit of local self government of minimal 5 years contract duration without breaching contract provisions or that it has done likewise in providing services of city and suburban line transportation at the territory of the unit of local self government minimally in 5 years contract duration if the contract is still in force.   </w:t>
      </w:r>
    </w:p>
    <w:p>
      <w:pPr>
        <w:pStyle w:val="ListParagraph"/>
        <w:spacing w:before="120" w:after="0"/>
        <w:ind w:left="1701" w:hanging="682"/>
        <w:contextualSpacing/>
        <w:rPr>
          <w:rFonts w:ascii="Arial" w:hAnsi="Arial" w:eastAsia="Calibri" w:cs="Arial"/>
          <w:b/>
          <w:b/>
          <w:iCs/>
          <w:strike/>
          <w:color w:val="000000" w:themeColor="text1"/>
        </w:rPr>
      </w:pPr>
      <w:r>
        <w:rPr>
          <w:rFonts w:eastAsia="Calibri" w:cs="Arial" w:ascii="Arial" w:hAnsi="Arial"/>
          <w:b/>
          <w:iCs/>
          <w:strike/>
          <w:color w:val="000000" w:themeColor="text1"/>
        </w:rPr>
      </w:r>
    </w:p>
    <w:p>
      <w:pPr>
        <w:pStyle w:val="ListParagraph"/>
        <w:spacing w:before="120" w:after="0"/>
        <w:ind w:left="1985" w:hanging="567"/>
        <w:contextualSpacing/>
        <w:rPr>
          <w:rFonts w:ascii="Arial" w:hAnsi="Arial" w:eastAsia="Calibri" w:cs="Arial"/>
          <w:b/>
          <w:b/>
          <w:bCs/>
          <w:i/>
          <w:i/>
          <w:iCs/>
        </w:rPr>
      </w:pPr>
      <w:r>
        <w:rPr>
          <w:rFonts w:eastAsia="Calibri" w:cs="Arial" w:ascii="Arial" w:hAnsi="Arial"/>
          <w:b/>
          <w:iCs/>
          <w:lang w:val="sr-Latn-RS"/>
        </w:rPr>
        <w:t>Evidence</w:t>
      </w:r>
      <w:r>
        <w:rPr>
          <w:rFonts w:eastAsia="Calibri" w:cs="Arial" w:ascii="Arial" w:hAnsi="Arial"/>
          <w:iCs/>
        </w:rPr>
        <w:t xml:space="preserve">: </w:t>
      </w:r>
    </w:p>
    <w:p>
      <w:pPr>
        <w:pStyle w:val="NoSpacing"/>
        <w:numPr>
          <w:ilvl w:val="0"/>
          <w:numId w:val="6"/>
        </w:numPr>
        <w:ind w:left="1701" w:hanging="283"/>
        <w:jc w:val="both"/>
        <w:rPr>
          <w:sz w:val="22"/>
          <w:szCs w:val="22"/>
        </w:rPr>
      </w:pPr>
      <w:r>
        <w:rPr>
          <w:sz w:val="22"/>
          <w:szCs w:val="22"/>
          <w:lang w:val="sr-Latn-RS"/>
        </w:rPr>
        <w:t>Copy of contract</w:t>
      </w:r>
      <w:r>
        <w:rPr>
          <w:sz w:val="22"/>
          <w:szCs w:val="22"/>
        </w:rPr>
        <w:t>;</w:t>
      </w:r>
    </w:p>
    <w:p>
      <w:pPr>
        <w:pStyle w:val="NoSpacing"/>
        <w:numPr>
          <w:ilvl w:val="0"/>
          <w:numId w:val="6"/>
        </w:numPr>
        <w:ind w:left="1701" w:hanging="283"/>
        <w:jc w:val="both"/>
        <w:rPr>
          <w:sz w:val="22"/>
          <w:szCs w:val="22"/>
        </w:rPr>
      </w:pPr>
      <w:r>
        <w:rPr>
          <w:sz w:val="22"/>
          <w:szCs w:val="22"/>
          <w:lang w:val="sr-Latn-RS"/>
        </w:rPr>
        <w:t xml:space="preserve">Confirmation issued by reference </w:t>
      </w:r>
      <w:r>
        <w:rPr>
          <w:sz w:val="22"/>
          <w:szCs w:val="22"/>
        </w:rPr>
        <w:t>Contracting Authority</w:t>
      </w:r>
      <w:r>
        <w:rPr>
          <w:sz w:val="22"/>
          <w:szCs w:val="22"/>
          <w:lang w:val="sr-Latn-RS"/>
        </w:rPr>
        <w:t xml:space="preserve"> listing the following: subject of contract, date of concluding and realizing the contract, note that the contract was realized without breaching contract provisions. </w:t>
      </w:r>
      <w:r>
        <w:rPr>
          <w:sz w:val="22"/>
          <w:szCs w:val="22"/>
        </w:rPr>
        <w:t xml:space="preserve"> </w:t>
      </w:r>
    </w:p>
    <w:p>
      <w:pPr>
        <w:pStyle w:val="ListParagraph"/>
        <w:widowControl/>
        <w:numPr>
          <w:ilvl w:val="0"/>
          <w:numId w:val="5"/>
        </w:numPr>
        <w:spacing w:before="120" w:after="0"/>
        <w:ind w:left="1701" w:hanging="567"/>
        <w:contextualSpacing/>
        <w:rPr>
          <w:rFonts w:ascii="Arial" w:hAnsi="Arial" w:eastAsia="Calibri" w:cs="Arial"/>
          <w:bCs/>
          <w:iCs/>
        </w:rPr>
      </w:pPr>
      <w:r>
        <w:rPr>
          <w:rFonts w:eastAsia="Calibri" w:cs="Arial" w:ascii="Arial" w:hAnsi="Arial"/>
          <w:lang w:val="sr-Latn-RS"/>
        </w:rPr>
        <w:t xml:space="preserve">The tenderer has to own appropriate expertise necessary for the realization of public-private partnership, therefore minimally 40 employees or working engaged persons in line with Law on Labour, as listed below: </w:t>
      </w:r>
    </w:p>
    <w:p>
      <w:pPr>
        <w:pStyle w:val="ListParagraph"/>
        <w:spacing w:before="120" w:after="0"/>
        <w:ind w:left="1440" w:hanging="682"/>
        <w:contextualSpacing/>
        <w:rPr>
          <w:rFonts w:ascii="Arial" w:hAnsi="Arial" w:eastAsia="Calibri" w:cs="Arial"/>
          <w:bCs/>
          <w:iCs/>
        </w:rPr>
      </w:pPr>
      <w:r>
        <w:rPr>
          <w:rFonts w:eastAsia="Calibri" w:cs="Arial" w:ascii="Arial" w:hAnsi="Arial"/>
          <w:bCs/>
          <w:iCs/>
        </w:rPr>
      </w:r>
    </w:p>
    <w:p>
      <w:pPr>
        <w:pStyle w:val="NoSpacing"/>
        <w:numPr>
          <w:ilvl w:val="0"/>
          <w:numId w:val="7"/>
        </w:numPr>
        <w:ind w:left="1701" w:hanging="283"/>
        <w:jc w:val="both"/>
        <w:rPr>
          <w:color w:val="000000" w:themeColor="text1"/>
          <w:sz w:val="22"/>
          <w:szCs w:val="22"/>
        </w:rPr>
      </w:pPr>
      <w:r>
        <w:rPr>
          <w:color w:val="000000" w:themeColor="text1"/>
          <w:sz w:val="22"/>
          <w:szCs w:val="22"/>
          <w:lang w:val="sr-Latn-RS"/>
        </w:rPr>
        <w:t>At least 35 bus drivers who own qualification CPC cards issued by Road Traffic Safety Agency</w:t>
      </w:r>
    </w:p>
    <w:p>
      <w:pPr>
        <w:pStyle w:val="NoSpacing"/>
        <w:numPr>
          <w:ilvl w:val="0"/>
          <w:numId w:val="7"/>
        </w:numPr>
        <w:ind w:left="1701" w:hanging="283"/>
        <w:jc w:val="both"/>
        <w:rPr>
          <w:color w:val="000000" w:themeColor="text1"/>
          <w:sz w:val="22"/>
          <w:szCs w:val="22"/>
        </w:rPr>
      </w:pPr>
      <w:r>
        <w:rPr>
          <w:color w:val="000000" w:themeColor="text1"/>
          <w:sz w:val="22"/>
          <w:szCs w:val="22"/>
          <w:lang w:val="sr-Latn-RS"/>
        </w:rPr>
        <w:t xml:space="preserve">At least 2 persons employes at vehicles/bus maintenance; </w:t>
      </w:r>
    </w:p>
    <w:p>
      <w:pPr>
        <w:pStyle w:val="NoSpacing"/>
        <w:numPr>
          <w:ilvl w:val="0"/>
          <w:numId w:val="7"/>
        </w:numPr>
        <w:ind w:left="1701" w:hanging="283"/>
        <w:jc w:val="both"/>
        <w:rPr>
          <w:color w:val="000000" w:themeColor="text1"/>
          <w:sz w:val="22"/>
          <w:szCs w:val="22"/>
        </w:rPr>
      </w:pPr>
      <w:r>
        <w:rPr>
          <w:color w:val="000000" w:themeColor="text1"/>
          <w:sz w:val="22"/>
          <w:szCs w:val="22"/>
          <w:lang w:val="sr-Latn-RS"/>
        </w:rPr>
        <w:t xml:space="preserve">At least 1 traffic enginees who owns Certificate of person responsible for the transportation of passengers issues by the Ministry in charge. </w:t>
      </w:r>
    </w:p>
    <w:p>
      <w:pPr>
        <w:pStyle w:val="Normal"/>
        <w:spacing w:before="120" w:after="0"/>
        <w:ind w:left="1985" w:hanging="567"/>
        <w:jc w:val="both"/>
        <w:rPr>
          <w:rFonts w:ascii="Arial" w:hAnsi="Arial" w:eastAsia="Calibri" w:cs="Arial"/>
        </w:rPr>
      </w:pPr>
      <w:r>
        <w:rPr>
          <w:rFonts w:eastAsia="Calibri" w:cs="Arial" w:ascii="Arial" w:hAnsi="Arial"/>
          <w:b/>
          <w:iCs/>
          <w:lang w:val="sr-Latn-RS"/>
        </w:rPr>
        <w:t>Evidence</w:t>
      </w:r>
      <w:r>
        <w:rPr>
          <w:rFonts w:eastAsia="Calibri" w:cs="Arial" w:ascii="Arial" w:hAnsi="Arial"/>
          <w:b/>
          <w:iCs/>
        </w:rPr>
        <w:t>:</w:t>
      </w:r>
      <w:r>
        <w:rPr>
          <w:rFonts w:eastAsia="Calibri" w:cs="Arial" w:ascii="Arial" w:hAnsi="Arial"/>
          <w:iCs/>
        </w:rPr>
        <w:t xml:space="preserve"> </w:t>
      </w:r>
    </w:p>
    <w:p>
      <w:pPr>
        <w:pStyle w:val="ListParagraph"/>
        <w:widowControl/>
        <w:numPr>
          <w:ilvl w:val="0"/>
          <w:numId w:val="9"/>
        </w:numPr>
        <w:spacing w:before="120" w:after="0"/>
        <w:rPr>
          <w:rFonts w:ascii="Arial" w:hAnsi="Arial" w:eastAsia="Calibri" w:cs="Arial"/>
          <w:iCs/>
        </w:rPr>
      </w:pPr>
      <w:r>
        <w:rPr>
          <w:rFonts w:eastAsia="Calibri" w:cs="Arial" w:ascii="Arial" w:hAnsi="Arial"/>
          <w:iCs/>
          <w:lang w:val="sr-Latn-RS"/>
        </w:rPr>
        <w:t xml:space="preserve">MA form for all engaged persons; </w:t>
      </w:r>
    </w:p>
    <w:p>
      <w:pPr>
        <w:pStyle w:val="ListParagraph"/>
        <w:widowControl/>
        <w:numPr>
          <w:ilvl w:val="0"/>
          <w:numId w:val="9"/>
        </w:numPr>
        <w:spacing w:before="120" w:after="0"/>
        <w:rPr>
          <w:rFonts w:ascii="Arial" w:hAnsi="Arial" w:eastAsia="Calibri" w:cs="Arial"/>
          <w:iCs/>
          <w:color w:val="000000" w:themeColor="text1"/>
        </w:rPr>
      </w:pPr>
      <w:r>
        <w:rPr>
          <w:rFonts w:eastAsia="Calibri" w:cs="Arial" w:ascii="Arial" w:hAnsi="Arial"/>
          <w:iCs/>
          <w:color w:val="000000" w:themeColor="text1"/>
          <w:lang w:val="sr-Latn-RS"/>
        </w:rPr>
        <w:t xml:space="preserve">Copy of CPC card and valid driving licence for all drivers;  </w:t>
      </w:r>
    </w:p>
    <w:p>
      <w:pPr>
        <w:pStyle w:val="ListParagraph"/>
        <w:widowControl/>
        <w:numPr>
          <w:ilvl w:val="0"/>
          <w:numId w:val="9"/>
        </w:numPr>
        <w:spacing w:before="120" w:after="0"/>
        <w:rPr>
          <w:rFonts w:ascii="Arial" w:hAnsi="Arial" w:eastAsia="Calibri" w:cs="Arial"/>
          <w:iCs/>
        </w:rPr>
      </w:pPr>
      <w:r>
        <w:rPr>
          <w:rFonts w:eastAsia="Calibri" w:cs="Arial" w:ascii="Arial" w:hAnsi="Arial"/>
          <w:iCs/>
          <w:lang w:val="sr-Latn-RS"/>
        </w:rPr>
        <w:t xml:space="preserve">For the traffic engineer, Certificate issued by the Ministry in charge. </w:t>
      </w:r>
    </w:p>
    <w:p>
      <w:pPr>
        <w:pStyle w:val="ListParagraph"/>
        <w:widowControl/>
        <w:numPr>
          <w:ilvl w:val="0"/>
          <w:numId w:val="5"/>
        </w:numPr>
        <w:spacing w:before="120" w:after="0"/>
        <w:ind w:left="1701" w:hanging="567"/>
        <w:contextualSpacing/>
        <w:rPr>
          <w:rFonts w:ascii="Arial" w:hAnsi="Arial" w:eastAsia="Calibri" w:cs="Arial"/>
        </w:rPr>
      </w:pPr>
      <w:r>
        <w:rPr>
          <w:rFonts w:eastAsia="Calibri" w:cs="Arial" w:ascii="Arial" w:hAnsi="Arial"/>
          <w:lang w:val="sr-Latn-RS"/>
        </w:rPr>
        <w:t xml:space="preserve">The Tenderer has to own appropriate technical resources necessary for the realization of public-private partnership. </w:t>
      </w:r>
    </w:p>
    <w:p>
      <w:pPr>
        <w:pStyle w:val="ListParagraph"/>
        <w:spacing w:before="120" w:after="0"/>
        <w:ind w:left="1701" w:hanging="682"/>
        <w:contextualSpacing/>
        <w:rPr>
          <w:rFonts w:ascii="Arial" w:hAnsi="Arial" w:eastAsia="Calibri" w:cs="Arial"/>
        </w:rPr>
      </w:pPr>
      <w:r>
        <w:rPr>
          <w:rFonts w:eastAsia="Calibri" w:cs="Arial" w:ascii="Arial" w:hAnsi="Arial"/>
        </w:rPr>
      </w:r>
    </w:p>
    <w:p>
      <w:pPr>
        <w:pStyle w:val="ListParagraph"/>
        <w:widowControl/>
        <w:numPr>
          <w:ilvl w:val="0"/>
          <w:numId w:val="10"/>
        </w:numPr>
        <w:spacing w:before="120" w:after="0"/>
        <w:contextualSpacing/>
        <w:rPr>
          <w:rFonts w:ascii="Arial" w:hAnsi="Arial" w:eastAsia="Calibri" w:cs="Arial"/>
          <w:color w:val="000000" w:themeColor="text1"/>
        </w:rPr>
      </w:pPr>
      <w:r>
        <w:rPr>
          <w:rFonts w:eastAsia="Calibri" w:cs="Arial" w:ascii="Arial" w:hAnsi="Arial"/>
          <w:color w:val="000000" w:themeColor="text1"/>
        </w:rPr>
        <w:t xml:space="preserve">Object for the maintenance of vehicles with at least two channels of minimally 11 meters length at the territory of inhabited part of Ruma, in its ownership or rented. </w:t>
      </w:r>
    </w:p>
    <w:p>
      <w:pPr>
        <w:pStyle w:val="ListParagraph"/>
        <w:widowControl/>
        <w:numPr>
          <w:ilvl w:val="0"/>
          <w:numId w:val="10"/>
        </w:numPr>
        <w:spacing w:before="120" w:after="0"/>
        <w:contextualSpacing/>
        <w:rPr>
          <w:rFonts w:ascii="Arial" w:hAnsi="Arial" w:eastAsia="Calibri" w:cs="Arial"/>
          <w:color w:val="000000" w:themeColor="text1"/>
        </w:rPr>
      </w:pPr>
      <w:r>
        <w:rPr>
          <w:rFonts w:eastAsia="Calibri" w:cs="Arial" w:ascii="Arial" w:hAnsi="Arial"/>
          <w:color w:val="000000" w:themeColor="text1"/>
        </w:rPr>
        <w:t>Asphalt or concrete surface of minimal  600м</w:t>
      </w:r>
      <w:r>
        <w:rPr>
          <w:rFonts w:eastAsia="Calibri" w:cs="Arial" w:ascii="Arial" w:hAnsi="Arial"/>
          <w:color w:val="000000" w:themeColor="text1"/>
          <w:vertAlign w:val="superscript"/>
        </w:rPr>
        <w:t xml:space="preserve">2 </w:t>
      </w:r>
      <w:r>
        <w:rPr>
          <w:rFonts w:eastAsia="Calibri" w:cs="Arial" w:ascii="Arial" w:hAnsi="Arial"/>
          <w:color w:val="000000" w:themeColor="text1"/>
        </w:rPr>
        <w:t xml:space="preserve">surface for parking buses, with video surveillance, at the territory of inhabited part of Ruma, in its ownership or rented. </w:t>
      </w:r>
    </w:p>
    <w:p>
      <w:pPr>
        <w:pStyle w:val="ListParagraph"/>
        <w:widowControl/>
        <w:numPr>
          <w:ilvl w:val="0"/>
          <w:numId w:val="10"/>
        </w:numPr>
        <w:spacing w:before="120" w:after="0"/>
        <w:contextualSpacing/>
        <w:rPr>
          <w:rFonts w:ascii="Arial" w:hAnsi="Arial" w:eastAsia="Calibri" w:cs="Arial"/>
          <w:color w:val="000000" w:themeColor="text1"/>
        </w:rPr>
      </w:pPr>
      <w:r>
        <w:rPr>
          <w:rFonts w:eastAsia="Calibri" w:cs="Arial" w:ascii="Arial" w:hAnsi="Arial"/>
          <w:color w:val="000000" w:themeColor="text1"/>
        </w:rPr>
        <w:t>Premise for contact with the passengers (selling tickets) of minimal 15m</w:t>
      </w:r>
      <w:r>
        <w:rPr>
          <w:rFonts w:eastAsia="Calibri" w:cs="Arial" w:ascii="Arial" w:hAnsi="Arial"/>
          <w:color w:val="000000" w:themeColor="text1"/>
          <w:vertAlign w:val="superscript"/>
        </w:rPr>
        <w:t>2</w:t>
      </w:r>
      <w:r>
        <w:rPr>
          <w:rFonts w:eastAsia="Calibri" w:cs="Arial" w:ascii="Arial" w:hAnsi="Arial"/>
          <w:color w:val="000000" w:themeColor="text1"/>
        </w:rPr>
        <w:t xml:space="preserve"> surface, at the territory of inhabited part of Ruma, in its ownership or rented. </w:t>
      </w:r>
    </w:p>
    <w:p>
      <w:pPr>
        <w:pStyle w:val="Normal"/>
        <w:spacing w:before="120" w:after="160"/>
        <w:ind w:left="1985" w:hanging="567"/>
        <w:jc w:val="both"/>
        <w:rPr>
          <w:rFonts w:ascii="Arial" w:hAnsi="Arial" w:eastAsia="Calibri" w:cs="Arial"/>
          <w:b/>
          <w:b/>
          <w:bCs/>
        </w:rPr>
      </w:pPr>
      <w:r>
        <w:rPr>
          <w:rFonts w:eastAsia="Calibri" w:cs="Arial" w:ascii="Arial" w:hAnsi="Arial"/>
          <w:b/>
          <w:bCs/>
        </w:rPr>
        <w:t xml:space="preserve">Evidence: </w:t>
      </w:r>
    </w:p>
    <w:p>
      <w:pPr>
        <w:pStyle w:val="ListParagraph"/>
        <w:widowControl/>
        <w:numPr>
          <w:ilvl w:val="0"/>
          <w:numId w:val="11"/>
        </w:numPr>
        <w:spacing w:before="120" w:after="160"/>
        <w:rPr>
          <w:rFonts w:ascii="Arial" w:hAnsi="Arial" w:eastAsia="Calibri" w:cs="Arial"/>
          <w:color w:val="000000" w:themeColor="text1"/>
        </w:rPr>
      </w:pPr>
      <w:r>
        <w:rPr>
          <w:rFonts w:eastAsia="Calibri" w:cs="Arial" w:ascii="Arial" w:hAnsi="Arial"/>
          <w:color w:val="000000" w:themeColor="text1"/>
        </w:rPr>
        <w:t>For the condition under point 1: Real estate folio or lease contract, photos of the channel.</w:t>
      </w:r>
    </w:p>
    <w:p>
      <w:pPr>
        <w:pStyle w:val="ListParagraph"/>
        <w:widowControl/>
        <w:numPr>
          <w:ilvl w:val="0"/>
          <w:numId w:val="11"/>
        </w:numPr>
        <w:spacing w:before="120" w:after="160"/>
        <w:rPr>
          <w:rFonts w:ascii="Arial" w:hAnsi="Arial" w:eastAsia="Calibri" w:cs="Arial"/>
          <w:color w:val="000000" w:themeColor="text1"/>
        </w:rPr>
      </w:pPr>
      <w:r>
        <w:rPr>
          <w:rFonts w:eastAsia="Calibri" w:cs="Arial" w:ascii="Arial" w:hAnsi="Arial"/>
          <w:color w:val="000000" w:themeColor="text1"/>
        </w:rPr>
        <w:t xml:space="preserve">For the condition under point 2: Real estate folio or lease contract; contract or confirmation of registered (licensed) company which set up video surveillance, photos of bus parking. </w:t>
      </w:r>
    </w:p>
    <w:p>
      <w:pPr>
        <w:pStyle w:val="ListParagraph"/>
        <w:widowControl/>
        <w:numPr>
          <w:ilvl w:val="0"/>
          <w:numId w:val="11"/>
        </w:numPr>
        <w:spacing w:before="120" w:after="160"/>
        <w:rPr>
          <w:rFonts w:ascii="Arial" w:hAnsi="Arial" w:eastAsia="Calibri" w:cs="Arial"/>
          <w:color w:val="000000" w:themeColor="text1"/>
        </w:rPr>
      </w:pPr>
      <w:r>
        <w:rPr>
          <w:rFonts w:eastAsia="Calibri" w:cs="Arial" w:ascii="Arial" w:hAnsi="Arial"/>
          <w:color w:val="000000" w:themeColor="text1"/>
        </w:rPr>
        <w:t xml:space="preserve">For the condition under point 3: Real estate folio or lease contract; photos of premises. </w:t>
      </w:r>
    </w:p>
    <w:p>
      <w:pPr>
        <w:pStyle w:val="Normal"/>
        <w:spacing w:before="120" w:after="160"/>
        <w:ind w:left="1134" w:hanging="0"/>
        <w:jc w:val="both"/>
        <w:rPr>
          <w:rFonts w:ascii="Arial" w:hAnsi="Arial" w:eastAsia="Calibri" w:cs="Arial"/>
        </w:rPr>
      </w:pPr>
      <w:r>
        <w:rPr>
          <w:rFonts w:eastAsia="Calibri" w:cs="Arial" w:ascii="Arial" w:hAnsi="Arial"/>
        </w:rPr>
        <w:t xml:space="preserve">Contracting authority has the right to perform on the spot check for locations and objects which the tenderer listed in his/her offer. </w:t>
      </w:r>
    </w:p>
    <w:p>
      <w:pPr>
        <w:pStyle w:val="ListParagraph"/>
        <w:widowControl/>
        <w:numPr>
          <w:ilvl w:val="0"/>
          <w:numId w:val="5"/>
        </w:numPr>
        <w:spacing w:before="120" w:after="0"/>
        <w:ind w:left="1701" w:hanging="567"/>
        <w:contextualSpacing/>
        <w:rPr>
          <w:rFonts w:ascii="Arial" w:hAnsi="Arial" w:eastAsia="Calibri" w:cs="Arial"/>
        </w:rPr>
      </w:pPr>
      <w:r>
        <w:rPr>
          <w:rFonts w:eastAsia="Calibri" w:cs="Arial" w:ascii="Arial" w:hAnsi="Arial"/>
        </w:rPr>
        <w:t xml:space="preserve">The tenderer has to own appropriate vehicles necessary for the realization of public-private partnership, as listed below: </w:t>
      </w:r>
    </w:p>
    <w:p>
      <w:pPr>
        <w:pStyle w:val="ListParagraph"/>
        <w:widowControl/>
        <w:numPr>
          <w:ilvl w:val="0"/>
          <w:numId w:val="13"/>
        </w:numPr>
        <w:spacing w:before="120" w:after="0"/>
        <w:contextualSpacing/>
        <w:rPr>
          <w:rFonts w:ascii="Arial" w:hAnsi="Arial" w:eastAsia="Calibri" w:cs="Arial"/>
          <w:color w:val="000000" w:themeColor="text1"/>
        </w:rPr>
      </w:pPr>
      <w:r>
        <w:rPr>
          <w:rFonts w:eastAsia="Calibri" w:cs="Arial" w:ascii="Arial" w:hAnsi="Arial"/>
          <w:color w:val="000000" w:themeColor="text1"/>
        </w:rPr>
        <w:t xml:space="preserve">At least 1 single bus, low-floor with 2 double doors, minimal 45 seats and 30 places for standing, equipped with a ramp or elevator for boarding/unboarding of persons with disabilities, as well as place for the transport of persons with disability and warning buttons for the drivers, placed in the space for passengers, i.e. space for transporting persons with disability. The vehicle has to be equipped with emergency exits on both sides of the vehicle, as well as hammers for breaking glass and the sticker for informing passengers on such occasion. </w:t>
      </w:r>
    </w:p>
    <w:p>
      <w:pPr>
        <w:pStyle w:val="ListParagraph"/>
        <w:spacing w:before="120" w:after="0"/>
        <w:ind w:left="1800" w:hanging="682"/>
        <w:contextualSpacing/>
        <w:rPr>
          <w:rFonts w:ascii="Arial" w:hAnsi="Arial" w:eastAsia="Calibri" w:cs="Arial"/>
          <w:color w:val="000000" w:themeColor="text1"/>
        </w:rPr>
      </w:pPr>
      <w:r>
        <w:rPr>
          <w:rFonts w:eastAsia="Calibri" w:cs="Arial" w:ascii="Arial" w:hAnsi="Arial"/>
          <w:color w:val="000000" w:themeColor="text1"/>
        </w:rPr>
      </w:r>
    </w:p>
    <w:p>
      <w:pPr>
        <w:pStyle w:val="ListParagraph"/>
        <w:widowControl/>
        <w:numPr>
          <w:ilvl w:val="0"/>
          <w:numId w:val="13"/>
        </w:numPr>
        <w:spacing w:before="120" w:after="0"/>
        <w:contextualSpacing/>
        <w:rPr>
          <w:rFonts w:ascii="Arial" w:hAnsi="Arial" w:eastAsia="Calibri" w:cs="Arial"/>
          <w:color w:val="000000" w:themeColor="text1"/>
        </w:rPr>
      </w:pPr>
      <w:r>
        <w:rPr>
          <w:rFonts w:cs="Arial" w:ascii="Arial" w:hAnsi="Arial"/>
          <w:color w:val="000000" w:themeColor="text1"/>
        </w:rPr>
        <w:t xml:space="preserve">At least 2 low-floor articulated buses, minimal 4 doors, out of which 2 are in the front part of the vehicle and 2 are in the back part, capacity minimal 40 seats and 100 places for standing. These vehicles have to be equipped </w:t>
      </w:r>
      <w:r>
        <w:rPr>
          <w:rFonts w:eastAsia="Calibri" w:cs="Arial" w:ascii="Arial" w:hAnsi="Arial"/>
          <w:color w:val="000000" w:themeColor="text1"/>
        </w:rPr>
        <w:t>with a ramp or elevator for boarding/unboarding of persons with disabilities, out of which one ramp/elevator should be located at at least one door in the front part of the vehicle or at at least one door in the back part of the vehicle.</w:t>
      </w:r>
      <w:r>
        <w:rPr>
          <w:rFonts w:cs="Arial" w:ascii="Arial" w:hAnsi="Arial"/>
          <w:color w:val="000000" w:themeColor="text1"/>
        </w:rPr>
        <w:t xml:space="preserve"> Also these vehicles should have at least 2 seats for placing persons with disability and mothers with children in a babycart at least 1 in the front part of the vehicles and at least one in the back part of the vehicle. For the length and construction of these vehicles, it is necessary that each door, as well as places on the platform between the front and joint part including seats for persons with disability are equipped with easily noticeable and available buttons to be used by the passengers for warning of the driver.  At least one button at each door, at least one button at each place for seating persons with disability and mothers with children and at least one button on the left and on the right side of the platform connecting front and back (joint) part of the vehicle (minimally 10 buttons per each vehicle). For passengers safety, it is required that these vehicles own at least 4 emergency exits (glasses) on the left and 4 emergency exits on the right, equipped with </w:t>
      </w:r>
      <w:r>
        <w:rPr>
          <w:rFonts w:eastAsia="Calibri" w:cs="Arial" w:ascii="Arial" w:hAnsi="Arial"/>
          <w:color w:val="000000" w:themeColor="text1"/>
        </w:rPr>
        <w:t xml:space="preserve">hammers for breaking glass and the sticker for informing passengers on such occasion. </w:t>
      </w:r>
    </w:p>
    <w:p>
      <w:pPr>
        <w:pStyle w:val="ListParagraph"/>
        <w:spacing w:before="120" w:after="0"/>
        <w:ind w:left="1800" w:hanging="682"/>
        <w:contextualSpacing/>
        <w:rPr>
          <w:rFonts w:ascii="Arial" w:hAnsi="Arial" w:eastAsia="Calibri" w:cs="Arial"/>
          <w:color w:val="FF0000"/>
        </w:rPr>
      </w:pPr>
      <w:r>
        <w:rPr>
          <w:rFonts w:eastAsia="Calibri" w:cs="Arial" w:ascii="Arial" w:hAnsi="Arial"/>
          <w:color w:val="FF0000"/>
        </w:rPr>
      </w:r>
    </w:p>
    <w:p>
      <w:pPr>
        <w:pStyle w:val="ListParagraph"/>
        <w:widowControl/>
        <w:numPr>
          <w:ilvl w:val="0"/>
          <w:numId w:val="13"/>
        </w:numPr>
        <w:spacing w:before="120" w:after="0"/>
        <w:contextualSpacing/>
        <w:rPr>
          <w:rFonts w:ascii="Arial" w:hAnsi="Arial" w:eastAsia="Calibri" w:cs="Arial"/>
          <w:color w:val="000000" w:themeColor="text1"/>
        </w:rPr>
      </w:pPr>
      <w:r>
        <w:rPr>
          <w:rFonts w:cs="Arial" w:ascii="Arial" w:hAnsi="Arial"/>
          <w:color w:val="000000" w:themeColor="text1"/>
        </w:rPr>
        <w:t xml:space="preserve">At least 2 mini buses with at least 1 double doors in the middle and low floor part at the door, equipped with a ramp or elevator for boarding/unboarding persons with disability, capacity minimal 10 seats and minimal 15 standing places, as well as places for seating persons with disability. Vehicles should be equipped with buttons to be used by passengers at least in the part of the seat for persons with disabilities.  Since these are mini buses, it is necessary to have double doors of at least 100 cm width to enable safe boarding and unboarding of persons with disabilities. </w:t>
      </w:r>
    </w:p>
    <w:p>
      <w:pPr>
        <w:pStyle w:val="ListParagraph"/>
        <w:spacing w:before="120" w:after="0"/>
        <w:ind w:left="1800" w:hanging="682"/>
        <w:contextualSpacing/>
        <w:rPr>
          <w:rFonts w:ascii="Arial" w:hAnsi="Arial" w:eastAsia="Calibri" w:cs="Arial"/>
          <w:color w:val="000000" w:themeColor="text1"/>
        </w:rPr>
      </w:pPr>
      <w:r>
        <w:rPr>
          <w:rFonts w:eastAsia="Calibri" w:cs="Arial" w:ascii="Arial" w:hAnsi="Arial"/>
          <w:color w:val="000000" w:themeColor="text1"/>
        </w:rPr>
      </w:r>
    </w:p>
    <w:p>
      <w:pPr>
        <w:pStyle w:val="ListParagraph"/>
        <w:widowControl/>
        <w:numPr>
          <w:ilvl w:val="0"/>
          <w:numId w:val="13"/>
        </w:numPr>
        <w:spacing w:before="120" w:after="0"/>
        <w:contextualSpacing/>
        <w:rPr>
          <w:rFonts w:ascii="Arial" w:hAnsi="Arial" w:eastAsia="Calibri" w:cs="Arial"/>
          <w:color w:val="000000" w:themeColor="text1"/>
        </w:rPr>
      </w:pPr>
      <w:r>
        <w:rPr>
          <w:rFonts w:cs="Arial" w:ascii="Arial" w:hAnsi="Arial"/>
          <w:color w:val="000000" w:themeColor="text1"/>
        </w:rPr>
        <w:t xml:space="preserve">At least 2 solo buses of midibus class (length between 9 and 11m), capacity of minimal 25 seats and 35 places for standing, low-floor type, which own at least 1 ramp or elevator for boarding/unboarding persons with disabilities, as well as at least 1 seat for persons </w:t>
      </w:r>
    </w:p>
    <w:p>
      <w:pPr>
        <w:pStyle w:val="ListParagraph"/>
        <w:spacing w:before="120" w:after="0"/>
        <w:ind w:left="1800" w:hanging="682"/>
        <w:contextualSpacing/>
        <w:rPr>
          <w:rFonts w:ascii="Arial" w:hAnsi="Arial" w:eastAsia="Calibri" w:cs="Arial"/>
          <w:color w:val="FF0000"/>
        </w:rPr>
      </w:pPr>
      <w:r>
        <w:rPr>
          <w:rFonts w:eastAsia="Calibri" w:cs="Arial" w:ascii="Arial" w:hAnsi="Arial"/>
          <w:color w:val="FF0000"/>
        </w:rPr>
      </w:r>
    </w:p>
    <w:p>
      <w:pPr>
        <w:pStyle w:val="ListParagraph"/>
        <w:widowControl/>
        <w:numPr>
          <w:ilvl w:val="0"/>
          <w:numId w:val="13"/>
        </w:numPr>
        <w:spacing w:before="120" w:after="0"/>
        <w:contextualSpacing/>
        <w:rPr>
          <w:rFonts w:ascii="Arial" w:hAnsi="Arial" w:eastAsia="Calibri" w:cs="Arial"/>
          <w:color w:val="000000" w:themeColor="text1"/>
        </w:rPr>
      </w:pPr>
      <w:r>
        <w:rPr>
          <w:rFonts w:cs="Arial" w:ascii="Arial" w:hAnsi="Arial"/>
          <w:color w:val="000000" w:themeColor="text1"/>
        </w:rPr>
        <w:t xml:space="preserve">At least 3  extended solo buses (3 axis) capacity at least 60 seats and at least 50 standing places, two doors, out of which the other one (middle) are double with obligatory emergency exit equipped with </w:t>
      </w:r>
      <w:r>
        <w:rPr>
          <w:rFonts w:eastAsia="Calibri" w:cs="Arial" w:ascii="Arial" w:hAnsi="Arial"/>
          <w:color w:val="000000" w:themeColor="text1"/>
        </w:rPr>
        <w:t>hammers for breaking glass and the sticker for informing passengers on such occasion.</w:t>
      </w:r>
    </w:p>
    <w:p>
      <w:pPr>
        <w:pStyle w:val="ListParagraph"/>
        <w:widowControl/>
        <w:numPr>
          <w:ilvl w:val="0"/>
          <w:numId w:val="13"/>
        </w:numPr>
        <w:spacing w:before="120" w:after="0"/>
        <w:contextualSpacing/>
        <w:rPr>
          <w:rFonts w:ascii="Arial" w:hAnsi="Arial" w:eastAsia="Calibri" w:cs="Arial"/>
          <w:color w:val="000000" w:themeColor="text1"/>
        </w:rPr>
      </w:pPr>
      <w:r>
        <w:rPr>
          <w:rFonts w:cs="Arial" w:ascii="Arial" w:hAnsi="Arial"/>
          <w:color w:val="000000" w:themeColor="text1"/>
        </w:rPr>
        <w:t xml:space="preserve">At least 4 solo buses capacity 60 seats (without standing places) with at least 2 doors out of which the other one (middle door) have to be double and equipped with a ramp or elevator for boarding/unboarding persons with disabilities, as well as at least one place for seating persons with disabilities in the vehicle and at least one seat for seating mothers with babycarts. These buttons have to be equipped with buttons used by passengers to give warning to the driver, and which are assembled at the door, i.e. at the place for seating persons with disabilities and mothers with babycarts. It is also required that each of these vehicles owns at least 2 emergency exits (glasses) on the left and 2 emergency exits (glasses) on the right equipped with </w:t>
      </w:r>
      <w:r>
        <w:rPr>
          <w:rFonts w:eastAsia="Calibri" w:cs="Arial" w:ascii="Arial" w:hAnsi="Arial"/>
          <w:color w:val="000000" w:themeColor="text1"/>
        </w:rPr>
        <w:t>hammers for breaking glass and the sticker for informing passengers on such occasion.</w:t>
      </w:r>
    </w:p>
    <w:p>
      <w:pPr>
        <w:pStyle w:val="ListParagraph"/>
        <w:widowControl/>
        <w:numPr>
          <w:ilvl w:val="0"/>
          <w:numId w:val="13"/>
        </w:numPr>
        <w:spacing w:before="120" w:after="0"/>
        <w:contextualSpacing/>
        <w:rPr>
          <w:rFonts w:ascii="Arial" w:hAnsi="Arial" w:eastAsia="Calibri" w:cs="Arial"/>
          <w:color w:val="000000" w:themeColor="text1"/>
        </w:rPr>
      </w:pPr>
      <w:r>
        <w:rPr>
          <w:rFonts w:cs="Arial" w:ascii="Arial" w:hAnsi="Arial"/>
          <w:color w:val="000000" w:themeColor="text1"/>
        </w:rPr>
        <w:t xml:space="preserve">Transporter has to own at least two back up vehicles one of which is solo vehicle and the other one is of articulated type. </w:t>
      </w:r>
    </w:p>
    <w:p>
      <w:pPr>
        <w:pStyle w:val="Normal"/>
        <w:spacing w:before="120" w:after="160"/>
        <w:ind w:left="1418" w:hanging="0"/>
        <w:jc w:val="both"/>
        <w:rPr>
          <w:rFonts w:ascii="Arial" w:hAnsi="Arial" w:eastAsia="Calibri" w:cs="Arial"/>
        </w:rPr>
      </w:pPr>
      <w:r>
        <w:rPr>
          <w:rFonts w:eastAsia="Calibri" w:cs="Arial" w:ascii="Arial" w:hAnsi="Arial"/>
        </w:rPr>
        <w:t xml:space="preserve">*Note: Each vehicle has to own a license issued by the ministry in authority for traffic affairs. </w:t>
      </w:r>
    </w:p>
    <w:p>
      <w:pPr>
        <w:pStyle w:val="Normal"/>
        <w:spacing w:before="120" w:after="160"/>
        <w:ind w:left="1985" w:hanging="567"/>
        <w:jc w:val="both"/>
        <w:rPr>
          <w:rFonts w:ascii="Arial" w:hAnsi="Arial" w:eastAsia="Calibri" w:cs="Arial"/>
          <w:b/>
          <w:b/>
          <w:bCs/>
          <w:color w:val="000000" w:themeColor="text1"/>
        </w:rPr>
      </w:pPr>
      <w:r>
        <w:rPr>
          <w:rFonts w:eastAsia="Calibri" w:cs="Arial" w:ascii="Arial" w:hAnsi="Arial"/>
          <w:b/>
          <w:bCs/>
          <w:color w:val="000000" w:themeColor="text1"/>
        </w:rPr>
        <w:t xml:space="preserve">Evidence: </w:t>
      </w:r>
    </w:p>
    <w:p>
      <w:pPr>
        <w:pStyle w:val="ListParagraph"/>
        <w:widowControl/>
        <w:numPr>
          <w:ilvl w:val="0"/>
          <w:numId w:val="14"/>
        </w:numPr>
        <w:spacing w:before="120" w:after="160"/>
        <w:rPr>
          <w:rFonts w:ascii="Arial" w:hAnsi="Arial" w:eastAsia="Calibri" w:cs="Arial"/>
          <w:color w:val="000000" w:themeColor="text1"/>
        </w:rPr>
      </w:pPr>
      <w:r>
        <w:rPr>
          <w:rFonts w:eastAsia="Calibri" w:cs="Arial" w:ascii="Arial" w:hAnsi="Arial"/>
          <w:color w:val="000000" w:themeColor="text1"/>
        </w:rPr>
        <w:t>For all vehicles, the following is submitted; Filled form 4: List of buses; license issued by ministry in authority for traffic affairs listing all the buses; traffic license excerpt; copy of insurance policy; list on 31</w:t>
      </w:r>
      <w:r>
        <w:rPr>
          <w:rFonts w:eastAsia="Calibri" w:cs="Arial" w:ascii="Arial" w:hAnsi="Arial"/>
          <w:color w:val="000000" w:themeColor="text1"/>
          <w:vertAlign w:val="superscript"/>
        </w:rPr>
        <w:t>st</w:t>
      </w:r>
      <w:r>
        <w:rPr>
          <w:rFonts w:eastAsia="Calibri" w:cs="Arial" w:ascii="Arial" w:hAnsi="Arial"/>
          <w:color w:val="000000" w:themeColor="text1"/>
        </w:rPr>
        <w:t xml:space="preserve"> December, 2023 or leasing contract. </w:t>
      </w:r>
    </w:p>
    <w:p>
      <w:pPr>
        <w:pStyle w:val="ListParagraph"/>
        <w:widowControl/>
        <w:numPr>
          <w:ilvl w:val="0"/>
          <w:numId w:val="14"/>
        </w:numPr>
        <w:spacing w:before="120" w:after="160"/>
        <w:rPr>
          <w:rFonts w:ascii="Arial" w:hAnsi="Arial" w:eastAsia="Calibri" w:cs="Arial"/>
          <w:color w:val="000000" w:themeColor="text1"/>
        </w:rPr>
      </w:pPr>
      <w:r>
        <w:rPr>
          <w:rFonts w:eastAsia="Calibri" w:cs="Arial" w:ascii="Arial" w:hAnsi="Arial"/>
          <w:color w:val="000000" w:themeColor="text1"/>
        </w:rPr>
        <w:t xml:space="preserve">As evidence for technical equipment, the following is submitted: technical sheet of the vehicle issued by the manufacturer or a statement on tenderer’s letterhead given under full criminal accountability and material liability that all listed vehicles fulfill required technical features when it comes to minimal equipment condition. </w:t>
      </w:r>
    </w:p>
    <w:p>
      <w:pPr>
        <w:pStyle w:val="ListParagraph"/>
        <w:widowControl/>
        <w:numPr>
          <w:ilvl w:val="0"/>
          <w:numId w:val="5"/>
        </w:numPr>
        <w:spacing w:before="120" w:after="0"/>
        <w:ind w:left="1701" w:hanging="567"/>
        <w:contextualSpacing/>
        <w:rPr/>
      </w:pPr>
      <w:r>
        <w:rPr>
          <w:rFonts w:eastAsia="Calibri" w:cs="Arial" w:ascii="Arial" w:hAnsi="Arial"/>
        </w:rPr>
        <w:t xml:space="preserve">The tenderer has to fulfill the following standards: </w:t>
      </w:r>
    </w:p>
    <w:p>
      <w:pPr>
        <w:pStyle w:val="NoSpacing"/>
        <w:numPr>
          <w:ilvl w:val="0"/>
          <w:numId w:val="8"/>
        </w:numPr>
        <w:ind w:left="1701" w:hanging="283"/>
        <w:jc w:val="both"/>
        <w:rPr>
          <w:color w:val="000000" w:themeColor="text1"/>
          <w:sz w:val="22"/>
          <w:szCs w:val="22"/>
        </w:rPr>
      </w:pPr>
      <w:r>
        <w:rPr>
          <w:color w:val="000000" w:themeColor="text1"/>
          <w:sz w:val="22"/>
          <w:szCs w:val="22"/>
        </w:rPr>
        <w:t>Quality management system QMS 9001;</w:t>
      </w:r>
    </w:p>
    <w:p>
      <w:pPr>
        <w:pStyle w:val="NoSpacing"/>
        <w:numPr>
          <w:ilvl w:val="0"/>
          <w:numId w:val="8"/>
        </w:numPr>
        <w:ind w:left="1701" w:hanging="283"/>
        <w:jc w:val="both"/>
        <w:rPr>
          <w:color w:val="000000" w:themeColor="text1"/>
          <w:sz w:val="22"/>
          <w:szCs w:val="22"/>
        </w:rPr>
      </w:pPr>
      <w:r>
        <w:rPr>
          <w:color w:val="000000" w:themeColor="text1"/>
          <w:sz w:val="22"/>
          <w:szCs w:val="22"/>
        </w:rPr>
        <w:t>Environment related quality management system QMS 14001;</w:t>
      </w:r>
    </w:p>
    <w:p>
      <w:pPr>
        <w:pStyle w:val="NoSpacing"/>
        <w:numPr>
          <w:ilvl w:val="0"/>
          <w:numId w:val="8"/>
        </w:numPr>
        <w:ind w:left="1701" w:hanging="283"/>
        <w:jc w:val="both"/>
        <w:rPr>
          <w:color w:val="000000" w:themeColor="text1"/>
          <w:sz w:val="22"/>
          <w:szCs w:val="22"/>
        </w:rPr>
      </w:pPr>
      <w:r>
        <w:rPr>
          <w:color w:val="000000" w:themeColor="text1"/>
          <w:sz w:val="22"/>
          <w:szCs w:val="22"/>
        </w:rPr>
        <w:t>Road traffic safety related quality management system QMS 39001;</w:t>
      </w:r>
    </w:p>
    <w:p>
      <w:pPr>
        <w:pStyle w:val="NoSpacing"/>
        <w:numPr>
          <w:ilvl w:val="0"/>
          <w:numId w:val="8"/>
        </w:numPr>
        <w:ind w:left="1701" w:hanging="283"/>
        <w:jc w:val="both"/>
        <w:rPr>
          <w:color w:val="000000" w:themeColor="text1"/>
          <w:sz w:val="22"/>
          <w:szCs w:val="22"/>
        </w:rPr>
      </w:pPr>
      <w:r>
        <w:rPr>
          <w:color w:val="000000" w:themeColor="text1"/>
          <w:sz w:val="22"/>
          <w:szCs w:val="22"/>
        </w:rPr>
        <w:t>Road traffic safety system QMS 39002.</w:t>
      </w:r>
    </w:p>
    <w:p>
      <w:pPr>
        <w:pStyle w:val="NoSpacing"/>
        <w:jc w:val="both"/>
        <w:rPr>
          <w:sz w:val="22"/>
          <w:szCs w:val="22"/>
        </w:rPr>
      </w:pPr>
      <w:r>
        <w:rPr>
          <w:sz w:val="22"/>
          <w:szCs w:val="22"/>
        </w:rPr>
      </w:r>
    </w:p>
    <w:p>
      <w:pPr>
        <w:pStyle w:val="NoSpacing"/>
        <w:ind w:left="698" w:firstLine="720"/>
        <w:jc w:val="both"/>
        <w:rPr>
          <w:b/>
          <w:b/>
          <w:bCs/>
          <w:sz w:val="22"/>
          <w:szCs w:val="22"/>
        </w:rPr>
      </w:pPr>
      <w:r>
        <w:rPr>
          <w:b/>
          <w:bCs/>
          <w:sz w:val="22"/>
          <w:szCs w:val="22"/>
        </w:rPr>
        <w:t>Evidence:</w:t>
      </w:r>
    </w:p>
    <w:p>
      <w:pPr>
        <w:pStyle w:val="NoSpacing"/>
        <w:numPr>
          <w:ilvl w:val="0"/>
          <w:numId w:val="12"/>
        </w:numPr>
        <w:jc w:val="both"/>
        <w:rPr>
          <w:sz w:val="22"/>
          <w:szCs w:val="22"/>
        </w:rPr>
      </w:pPr>
      <w:r>
        <w:rPr>
          <w:sz w:val="22"/>
          <w:szCs w:val="22"/>
        </w:rPr>
        <w:t>Copies of valid certificates</w:t>
      </w:r>
    </w:p>
    <w:p>
      <w:pPr>
        <w:pStyle w:val="NoSpacing"/>
        <w:spacing w:before="120" w:after="0"/>
        <w:ind w:left="1418" w:hanging="0"/>
        <w:jc w:val="both"/>
        <w:rPr>
          <w:sz w:val="22"/>
          <w:szCs w:val="22"/>
        </w:rPr>
      </w:pPr>
      <w:r>
        <w:rPr>
          <w:sz w:val="22"/>
          <w:szCs w:val="22"/>
        </w:rPr>
        <w:t>Note: The scope of certified required standards has to be in line with the subject of public procurement.</w:t>
      </w:r>
    </w:p>
    <w:p>
      <w:pPr>
        <w:pStyle w:val="Heading2"/>
        <w:numPr>
          <w:ilvl w:val="0"/>
          <w:numId w:val="1"/>
        </w:numPr>
        <w:tabs>
          <w:tab w:val="clear" w:pos="720"/>
          <w:tab w:val="left" w:pos="794" w:leader="none"/>
          <w:tab w:val="left" w:pos="795" w:leader="none"/>
        </w:tabs>
        <w:ind w:left="794" w:hanging="682"/>
        <w:rPr>
          <w:rFonts w:ascii="Arial" w:hAnsi="Arial" w:cs="Arial"/>
          <w:sz w:val="22"/>
          <w:szCs w:val="22"/>
        </w:rPr>
      </w:pPr>
      <w:r>
        <w:rPr>
          <w:rFonts w:cs="Arial" w:ascii="Arial" w:hAnsi="Arial"/>
          <w:sz w:val="22"/>
          <w:szCs w:val="22"/>
        </w:rPr>
        <w:t xml:space="preserve">Criteria for the selection of best price offer </w:t>
      </w:r>
    </w:p>
    <w:p>
      <w:pPr>
        <w:pStyle w:val="TextBody"/>
        <w:spacing w:before="157" w:after="0"/>
        <w:rPr>
          <w:rFonts w:ascii="Arial" w:hAnsi="Arial" w:cs="Arial"/>
          <w:sz w:val="22"/>
          <w:szCs w:val="22"/>
        </w:rPr>
      </w:pPr>
      <w:r>
        <w:rPr>
          <w:rFonts w:cs="Arial" w:ascii="Arial" w:hAnsi="Arial"/>
          <w:sz w:val="22"/>
          <w:szCs w:val="22"/>
        </w:rPr>
        <w:t xml:space="preserve">Criteria for the selection of best price offer is the most economically favorable offer (the price- total value for estimated quantities during 10 years time VAT excluded; Number of vehicles with at least Euro 5 norm; Distance of objects required for providing services). </w:t>
      </w:r>
    </w:p>
    <w:p>
      <w:pPr>
        <w:pStyle w:val="ListParagraph"/>
        <w:numPr>
          <w:ilvl w:val="0"/>
          <w:numId w:val="1"/>
        </w:numPr>
        <w:tabs>
          <w:tab w:val="clear" w:pos="720"/>
          <w:tab w:val="left" w:pos="794" w:leader="none"/>
          <w:tab w:val="left" w:pos="795" w:leader="none"/>
        </w:tabs>
        <w:spacing w:before="161" w:after="0"/>
        <w:rPr>
          <w:rFonts w:ascii="Arial" w:hAnsi="Arial" w:cs="Arial"/>
          <w:b/>
          <w:b/>
          <w:bCs/>
        </w:rPr>
      </w:pPr>
      <w:r>
        <w:rPr>
          <w:rFonts w:cs="Arial" w:ascii="Arial" w:hAnsi="Arial"/>
          <w:b/>
          <w:bCs/>
        </w:rPr>
        <w:t xml:space="preserve">Deadline for submitting offers; address to submit offers, language and letter at which offers have to be made.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The tenderer submits offer at the address of the Contracting Authority: Ruma, Glavna street no.</w:t>
      </w:r>
      <w:r>
        <w:rPr>
          <w:rFonts w:cs="Arial" w:ascii="Arial" w:hAnsi="Arial"/>
          <w:sz w:val="22"/>
          <w:szCs w:val="22"/>
          <w:lang w:val="sr-RS"/>
        </w:rPr>
        <w:t xml:space="preserve"> </w:t>
      </w:r>
      <w:r>
        <w:rPr>
          <w:rFonts w:cs="Arial" w:ascii="Arial" w:hAnsi="Arial"/>
          <w:sz w:val="22"/>
          <w:szCs w:val="22"/>
        </w:rPr>
        <w:t>155</w:t>
      </w:r>
      <w:r>
        <w:rPr>
          <w:rFonts w:cs="Arial" w:ascii="Arial" w:hAnsi="Arial"/>
          <w:sz w:val="22"/>
          <w:szCs w:val="22"/>
          <w:lang w:val="sr-RS"/>
        </w:rPr>
        <w:t xml:space="preserve">. </w:t>
      </w:r>
      <w:r>
        <w:rPr>
          <w:rFonts w:cs="Arial" w:ascii="Arial" w:hAnsi="Arial"/>
          <w:sz w:val="22"/>
          <w:szCs w:val="22"/>
        </w:rPr>
        <w:t xml:space="preserve">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The offer is submitted in written form, filed or in a register, All the forms and the model of public contract have to be filled and signed by the legal/authorized person listed as legal representative in the Business Registers Agency.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The offer is submitted in a sealed envelope with the address of the Contracting Authority, name of public-private partnership procedure with concession elements, note “NOT TO BE OPENED”, name and address of the tenderer.</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Deadline for submitting offers is 60 days from the day of announcing the public call in the “Official Gazette of RS”</w:t>
      </w:r>
      <w:r>
        <w:rPr>
          <w:rFonts w:cs="Arial" w:ascii="Arial" w:hAnsi="Arial"/>
          <w:sz w:val="22"/>
          <w:szCs w:val="22"/>
          <w:lang w:val="sr-RS"/>
        </w:rPr>
        <w:t xml:space="preserve"> (25</w:t>
      </w:r>
      <w:r>
        <w:rPr>
          <w:rFonts w:cs="Arial" w:ascii="Arial" w:hAnsi="Arial"/>
          <w:sz w:val="22"/>
          <w:szCs w:val="22"/>
          <w:lang w:val="sr-Latn-RS"/>
        </w:rPr>
        <w:t>th October</w:t>
      </w:r>
      <w:r>
        <w:rPr>
          <w:rFonts w:cs="Arial" w:ascii="Arial" w:hAnsi="Arial"/>
          <w:sz w:val="22"/>
          <w:szCs w:val="22"/>
          <w:lang w:val="sr-RS"/>
        </w:rPr>
        <w:t xml:space="preserve"> 2023, </w:t>
      </w:r>
      <w:r>
        <w:rPr>
          <w:rFonts w:cs="Arial" w:ascii="Arial" w:hAnsi="Arial"/>
          <w:sz w:val="22"/>
          <w:szCs w:val="22"/>
          <w:lang w:val="sr-Latn-RS"/>
        </w:rPr>
        <w:t>until</w:t>
      </w:r>
      <w:r>
        <w:rPr>
          <w:rFonts w:cs="Arial" w:ascii="Arial" w:hAnsi="Arial"/>
          <w:sz w:val="22"/>
          <w:szCs w:val="22"/>
          <w:lang w:val="sr-RS"/>
        </w:rPr>
        <w:t xml:space="preserve"> 12.00 </w:t>
      </w:r>
      <w:r>
        <w:rPr>
          <w:rFonts w:cs="Arial" w:ascii="Arial" w:hAnsi="Arial"/>
          <w:sz w:val="22"/>
          <w:szCs w:val="22"/>
          <w:lang w:val="sr-Latn-RS"/>
        </w:rPr>
        <w:t>hours</w:t>
      </w:r>
      <w:r>
        <w:rPr>
          <w:rFonts w:cs="Arial" w:ascii="Arial" w:hAnsi="Arial"/>
          <w:sz w:val="22"/>
          <w:szCs w:val="22"/>
          <w:lang w:val="sr-RS"/>
        </w:rPr>
        <w:t>)</w:t>
      </w:r>
      <w:r>
        <w:rPr>
          <w:rFonts w:cs="Arial" w:ascii="Arial" w:hAnsi="Arial"/>
          <w:sz w:val="22"/>
          <w:szCs w:val="22"/>
        </w:rPr>
        <w:t xml:space="preserve">.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The tenderer submits an offer in Serbian and in cyrilic letters. All the forms, statements and documents submitted have to be in Serbian. </w:t>
      </w:r>
    </w:p>
    <w:p>
      <w:pPr>
        <w:pStyle w:val="ListParagraph"/>
        <w:numPr>
          <w:ilvl w:val="0"/>
          <w:numId w:val="1"/>
        </w:numPr>
        <w:tabs>
          <w:tab w:val="clear" w:pos="720"/>
          <w:tab w:val="left" w:pos="794" w:leader="none"/>
          <w:tab w:val="left" w:pos="795" w:leader="none"/>
        </w:tabs>
        <w:spacing w:before="161" w:after="0"/>
        <w:rPr>
          <w:rFonts w:ascii="Arial" w:hAnsi="Arial" w:cs="Arial"/>
          <w:b/>
          <w:b/>
          <w:bCs/>
        </w:rPr>
      </w:pPr>
      <w:r>
        <w:rPr>
          <w:rFonts w:cs="Arial" w:ascii="Arial" w:hAnsi="Arial"/>
          <w:b/>
          <w:bCs/>
        </w:rPr>
        <w:t xml:space="preserve">Date of sending information on the procedure results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Decision on the selection of best price offer will be issued in the 60 days deadline from the deadline for submitting offers. </w:t>
      </w:r>
    </w:p>
    <w:p>
      <w:pPr>
        <w:pStyle w:val="ListParagraph"/>
        <w:numPr>
          <w:ilvl w:val="0"/>
          <w:numId w:val="1"/>
        </w:numPr>
        <w:tabs>
          <w:tab w:val="clear" w:pos="720"/>
          <w:tab w:val="left" w:pos="794" w:leader="none"/>
          <w:tab w:val="left" w:pos="795" w:leader="none"/>
        </w:tabs>
        <w:spacing w:before="161" w:after="0"/>
        <w:rPr>
          <w:rFonts w:ascii="Arial" w:hAnsi="Arial" w:cs="Arial"/>
          <w:b/>
          <w:b/>
          <w:bCs/>
        </w:rPr>
      </w:pPr>
      <w:r>
        <w:rPr>
          <w:rFonts w:cs="Arial" w:ascii="Arial" w:hAnsi="Arial"/>
          <w:b/>
          <w:bCs/>
        </w:rPr>
        <w:t xml:space="preserve">Name and address of the body authorized for responding to requests for the protection of rights and information on deadlines for their submission.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Each person interested to participate of who is participating in the Procedure of allocating concession is entitled to submit a request for the protection of rights in relation to the Procedure of allocation of concession to the Republic Commission for Protection of Rights in Public Procurement Procedures (the Commission).</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The request for the protection of rights is submitted to the Contracting Authority at the address listed in the Public call and related procurement documentation, by certified mail with acknowledgement of receipt or in person at the premises of the Contracting Authority.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Copy of request for the protection of rights is at the same time submitted to the Commission at the following address: Nemanjina street 22-26, 11000 Belgrade.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Deadline for submitting request for the protection of rights are the following: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Request for the protection of rights can be submitted during the whole public procurement procedure, unless it is defined differently by the procedure, not later than10 days from the day announcing Contracting Authority’s decision which marks the end of public procurement procedure.</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Request for the protection of rights which objects the Contracting Authority’s actions related to determining the type of procedure, content of public call and procurement documentation will be considered timely if received by the Contracting Authority not later than three days before the expiry deadline for submitting offers, no matter the way of submission.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Request for the protection of rights which objects the Contracting Authority’s actions taken after the expiry date for submitting offers is submitted in ten days deadline from the day of announcing the Contracting Authority decision, i.e. from the day of reception in cases when announcing is not included.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After the expiry date for submitting request for the protection of rights, the person submitting the request is not allowed to annex it by listing reasons related to actions which are subject of objecting in the submitted request or by objecting to other Contracting Authority actions with which it could have been familiarized with before the expiry deadline for submitting request for the protection of rights, and which were not listed in already submitted request. </w:t>
      </w:r>
    </w:p>
    <w:p>
      <w:pPr>
        <w:pStyle w:val="ListParagraph"/>
        <w:numPr>
          <w:ilvl w:val="0"/>
          <w:numId w:val="1"/>
        </w:numPr>
        <w:tabs>
          <w:tab w:val="clear" w:pos="720"/>
          <w:tab w:val="left" w:pos="794" w:leader="none"/>
          <w:tab w:val="left" w:pos="795" w:leader="none"/>
        </w:tabs>
        <w:spacing w:before="161" w:after="0"/>
        <w:rPr>
          <w:rFonts w:ascii="Arial" w:hAnsi="Arial" w:cs="Arial"/>
          <w:b/>
          <w:b/>
          <w:bCs/>
        </w:rPr>
      </w:pPr>
      <w:r>
        <w:rPr>
          <w:rFonts w:cs="Arial" w:ascii="Arial" w:hAnsi="Arial"/>
          <w:b/>
          <w:bCs/>
        </w:rPr>
        <w:t xml:space="preserve">Taking over of procurement documentation </w:t>
      </w:r>
    </w:p>
    <w:p>
      <w:pPr>
        <w:pStyle w:val="TextBody"/>
        <w:spacing w:lineRule="auto" w:line="276" w:before="157" w:after="0"/>
        <w:ind w:left="794" w:right="107" w:hanging="0"/>
        <w:rPr>
          <w:sz w:val="22"/>
          <w:szCs w:val="22"/>
        </w:rPr>
      </w:pPr>
      <w:r>
        <w:rPr>
          <w:rFonts w:cs="Arial" w:ascii="Arial" w:hAnsi="Arial"/>
          <w:sz w:val="22"/>
          <w:szCs w:val="22"/>
        </w:rPr>
        <w:t xml:space="preserve">All interested companies can take over procurement documentation by paying 5.000,00 rsd tax to the account number </w:t>
      </w:r>
      <w:r>
        <w:rPr>
          <w:rFonts w:cs="Arial" w:ascii="Arial" w:hAnsi="Arial"/>
          <w:color w:val="000000"/>
          <w:sz w:val="22"/>
          <w:szCs w:val="22"/>
        </w:rPr>
        <w:t xml:space="preserve"> 840-742351843-94 ,</w:t>
      </w:r>
      <w:r>
        <w:rPr>
          <w:rFonts w:ascii="Arial" w:hAnsi="Arial"/>
          <w:color w:val="000000"/>
          <w:sz w:val="22"/>
          <w:szCs w:val="22"/>
        </w:rPr>
        <w:t xml:space="preserve"> model:  97</w:t>
      </w:r>
      <w:r>
        <w:rPr>
          <w:rFonts w:cs="Arial" w:ascii="Arial" w:hAnsi="Arial"/>
          <w:color w:val="000000"/>
          <w:sz w:val="22"/>
          <w:szCs w:val="22"/>
        </w:rPr>
        <w:t xml:space="preserve"> reference number:  90-229</w:t>
      </w:r>
      <w:r>
        <w:rPr>
          <w:rFonts w:cs="Arial" w:ascii="Arial" w:hAnsi="Arial"/>
          <w:sz w:val="22"/>
          <w:szCs w:val="22"/>
        </w:rPr>
        <w:t xml:space="preserve">.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After the money transfer, all companies submit the payment evidence together with request for taking over procurement documentation for the electronic address: jnbruma@ruma.rs. Deadline for making procurement documentation publicly available is three working days from the day of submitting payment evidence. </w:t>
      </w:r>
    </w:p>
    <w:p>
      <w:pPr>
        <w:pStyle w:val="TextBody"/>
        <w:spacing w:lineRule="auto" w:line="276" w:before="157" w:after="0"/>
        <w:ind w:left="794" w:right="107" w:hanging="0"/>
        <w:rPr>
          <w:rFonts w:ascii="Arial" w:hAnsi="Arial" w:cs="Arial"/>
          <w:sz w:val="22"/>
          <w:szCs w:val="22"/>
        </w:rPr>
      </w:pPr>
      <w:r>
        <w:rPr>
          <w:rFonts w:cs="Arial" w:ascii="Arial" w:hAnsi="Arial"/>
          <w:sz w:val="22"/>
          <w:szCs w:val="22"/>
        </w:rPr>
        <w:t xml:space="preserve">Note: Procurement documentation can be bought only by the company that is performing the transportation of passengers, which can authorize other person to take over the documentation. Offer can be submitted only by the company which has bought the procurement documentation, individually or as a member of consortium submitting an offer. </w:t>
      </w:r>
    </w:p>
    <w:p>
      <w:pPr>
        <w:pStyle w:val="Heading2"/>
        <w:numPr>
          <w:ilvl w:val="0"/>
          <w:numId w:val="1"/>
        </w:numPr>
        <w:tabs>
          <w:tab w:val="clear" w:pos="720"/>
          <w:tab w:val="left" w:pos="795" w:leader="none"/>
        </w:tabs>
        <w:spacing w:before="121" w:after="0"/>
        <w:ind w:left="794" w:hanging="682"/>
        <w:rPr>
          <w:rFonts w:ascii="Arial" w:hAnsi="Arial" w:cs="Arial"/>
          <w:sz w:val="22"/>
          <w:szCs w:val="22"/>
        </w:rPr>
      </w:pPr>
      <w:r>
        <w:rPr>
          <w:rFonts w:cs="Arial" w:ascii="Arial" w:hAnsi="Arial"/>
          <w:sz w:val="22"/>
          <w:szCs w:val="22"/>
        </w:rPr>
        <w:t>Offer guarantee</w:t>
      </w:r>
    </w:p>
    <w:p>
      <w:pPr>
        <w:pStyle w:val="TextBody"/>
        <w:spacing w:lineRule="auto" w:line="276" w:before="117" w:after="0"/>
        <w:ind w:left="794" w:right="109" w:hanging="0"/>
        <w:rPr>
          <w:rFonts w:ascii="Arial" w:hAnsi="Arial" w:cs="Arial"/>
          <w:sz w:val="22"/>
          <w:szCs w:val="22"/>
        </w:rPr>
      </w:pPr>
      <w:r>
        <w:rPr>
          <w:rFonts w:cs="Arial" w:ascii="Arial" w:hAnsi="Arial"/>
          <w:sz w:val="22"/>
          <w:szCs w:val="22"/>
        </w:rPr>
        <w:t xml:space="preserve">The tenderer is obliged to submit bank guarantee in the value of 0,3% of the total value of the offer without VAT, which will be with the provisions: unconditioned and payable upon firs calling. Bank guarantee is issued with the validity deadline of 90 days from the day of public opening of offers. The Contracting Authority will cash the bank guarantee in case the tenderer gives up his/her offer in the offer expiry deadline, or if the selected tenderer refuses to conclude public contract or if the selected tenderer does not submit a guarantee for performing the contract. </w:t>
      </w:r>
    </w:p>
    <w:sectPr>
      <w:headerReference w:type="default" r:id="rId4"/>
      <w:type w:val="nextPage"/>
      <w:pgSz w:w="11906" w:h="16838"/>
      <w:pgMar w:left="1020" w:right="1020" w:header="678" w:top="1600" w:footer="0" w:bottom="1376" w:gutter="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Verdana">
    <w:charset w:val="ee"/>
    <w:family w:val="roman"/>
    <w:pitch w:val="variable"/>
  </w:font>
  <w:font w:name="Arial">
    <w:charset w:val="ee"/>
    <w:family w:val="roman"/>
    <w:pitch w:val="variable"/>
  </w:font>
  <w:font w:name="Liberation Sans">
    <w:altName w:val="Arial"/>
    <w:charset w:val="ee"/>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TextBody"/>
      <w:spacing w:lineRule="auto" w:line="9"/>
      <w:ind w:left="0" w:hanging="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794" w:hanging="681"/>
      </w:pPr>
      <w:rPr>
        <w:sz w:val="20"/>
        <w:b/>
        <w:szCs w:val="20"/>
        <w:bCs/>
        <w:w w:val="100"/>
        <w:rFonts w:eastAsia="Verdana" w:cs="Verdana"/>
        <w:lang w:eastAsia="en-US" w:bidi="ar-SA"/>
      </w:rPr>
    </w:lvl>
    <w:lvl w:ilvl="1">
      <w:start w:val="1"/>
      <w:numFmt w:val="decimal"/>
      <w:lvlText w:val="%1.%2"/>
      <w:lvlJc w:val="left"/>
      <w:pPr>
        <w:tabs>
          <w:tab w:val="num" w:pos="0"/>
        </w:tabs>
        <w:ind w:left="794" w:hanging="681"/>
      </w:pPr>
      <w:rPr>
        <w:sz w:val="20"/>
        <w:szCs w:val="20"/>
        <w:w w:val="100"/>
        <w:rFonts w:eastAsia="Verdana" w:cs="Verdana"/>
        <w:lang w:eastAsia="en-US" w:bidi="ar-SA"/>
      </w:rPr>
    </w:lvl>
    <w:lvl w:ilvl="2">
      <w:start w:val="1"/>
      <w:numFmt w:val="decimal"/>
      <w:lvlText w:val="%3)"/>
      <w:lvlJc w:val="left"/>
      <w:pPr>
        <w:tabs>
          <w:tab w:val="num" w:pos="0"/>
        </w:tabs>
        <w:ind w:left="1514" w:hanging="360"/>
      </w:pPr>
      <w:rPr>
        <w:sz w:val="20"/>
        <w:spacing w:val="-1"/>
        <w:szCs w:val="20"/>
        <w:w w:val="100"/>
        <w:rFonts w:eastAsia="Verdana" w:cs="Verdana"/>
        <w:lang w:eastAsia="en-US" w:bidi="ar-SA"/>
      </w:rPr>
    </w:lvl>
    <w:lvl w:ilvl="3">
      <w:start w:val="0"/>
      <w:numFmt w:val="bullet"/>
      <w:lvlText w:val=""/>
      <w:lvlJc w:val="left"/>
      <w:pPr>
        <w:tabs>
          <w:tab w:val="num" w:pos="0"/>
        </w:tabs>
        <w:ind w:left="3374" w:hanging="360"/>
      </w:pPr>
      <w:rPr>
        <w:rFonts w:ascii="Symbol" w:hAnsi="Symbol" w:cs="Symbol" w:hint="default"/>
      </w:rPr>
    </w:lvl>
    <w:lvl w:ilvl="4">
      <w:start w:val="0"/>
      <w:numFmt w:val="bullet"/>
      <w:lvlText w:val=""/>
      <w:lvlJc w:val="left"/>
      <w:pPr>
        <w:tabs>
          <w:tab w:val="num" w:pos="0"/>
        </w:tabs>
        <w:ind w:left="4301" w:hanging="360"/>
      </w:pPr>
      <w:rPr>
        <w:rFonts w:ascii="Symbol" w:hAnsi="Symbol" w:cs="Symbol" w:hint="default"/>
      </w:rPr>
    </w:lvl>
    <w:lvl w:ilvl="5">
      <w:start w:val="0"/>
      <w:numFmt w:val="bullet"/>
      <w:lvlText w:val=""/>
      <w:lvlJc w:val="left"/>
      <w:pPr>
        <w:tabs>
          <w:tab w:val="num" w:pos="0"/>
        </w:tabs>
        <w:ind w:left="5228" w:hanging="360"/>
      </w:pPr>
      <w:rPr>
        <w:rFonts w:ascii="Symbol" w:hAnsi="Symbol" w:cs="Symbol" w:hint="default"/>
      </w:rPr>
    </w:lvl>
    <w:lvl w:ilvl="6">
      <w:start w:val="0"/>
      <w:numFmt w:val="bullet"/>
      <w:lvlText w:val=""/>
      <w:lvlJc w:val="left"/>
      <w:pPr>
        <w:tabs>
          <w:tab w:val="num" w:pos="0"/>
        </w:tabs>
        <w:ind w:left="6155" w:hanging="360"/>
      </w:pPr>
      <w:rPr>
        <w:rFonts w:ascii="Symbol" w:hAnsi="Symbol" w:cs="Symbol" w:hint="default"/>
      </w:rPr>
    </w:lvl>
    <w:lvl w:ilvl="7">
      <w:start w:val="0"/>
      <w:numFmt w:val="bullet"/>
      <w:lvlText w:val=""/>
      <w:lvlJc w:val="left"/>
      <w:pPr>
        <w:tabs>
          <w:tab w:val="num" w:pos="0"/>
        </w:tabs>
        <w:ind w:left="7082" w:hanging="360"/>
      </w:pPr>
      <w:rPr>
        <w:rFonts w:ascii="Symbol" w:hAnsi="Symbol" w:cs="Symbol" w:hint="default"/>
      </w:rPr>
    </w:lvl>
    <w:lvl w:ilvl="8">
      <w:start w:val="0"/>
      <w:numFmt w:val="bullet"/>
      <w:lvlText w:val=""/>
      <w:lvlJc w:val="left"/>
      <w:pPr>
        <w:tabs>
          <w:tab w:val="num" w:pos="0"/>
        </w:tabs>
        <w:ind w:left="8010" w:hanging="360"/>
      </w:pPr>
      <w:rPr>
        <w:rFonts w:ascii="Symbol" w:hAnsi="Symbol" w:cs="Symbol" w:hint="default"/>
      </w:rPr>
    </w:lvl>
  </w:abstractNum>
  <w:abstractNum w:abstractNumId="2">
    <w:lvl w:ilvl="0">
      <w:start w:val="1"/>
      <w:numFmt w:val="decimal"/>
      <w:lvlText w:val="%1."/>
      <w:lvlJc w:val="left"/>
      <w:pPr>
        <w:tabs>
          <w:tab w:val="num" w:pos="0"/>
        </w:tabs>
        <w:ind w:left="720" w:hanging="360"/>
      </w:pPr>
    </w:lvl>
    <w:lvl w:ilvl="1">
      <w:start w:val="1"/>
      <w:numFmt w:val="decimal"/>
      <w:lvlText w:val="%1.%2."/>
      <w:lvlJc w:val="left"/>
      <w:pPr>
        <w:tabs>
          <w:tab w:val="num" w:pos="0"/>
        </w:tabs>
        <w:ind w:left="1350" w:hanging="720"/>
      </w:pPr>
      <w:rPr>
        <w:sz w:val="22"/>
        <w:i w:val="false"/>
        <w:b w:val="false"/>
        <w:szCs w:val="24"/>
        <w:iCs w:val="false"/>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3">
    <w:lvl w:ilvl="0">
      <w:start w:val="1"/>
      <w:numFmt w:val="decimal"/>
      <w:lvlText w:val="%1)"/>
      <w:lvlJc w:val="left"/>
      <w:pPr>
        <w:tabs>
          <w:tab w:val="num" w:pos="0"/>
        </w:tabs>
        <w:ind w:left="1429" w:hanging="360"/>
      </w:pPr>
      <w:rPr>
        <w:i w:val="false"/>
        <w:b w:val="false"/>
        <w:iCs w:val="false"/>
        <w:bCs w:val="false"/>
        <w:color w:val="auto"/>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lvl w:ilvl="0">
      <w:start w:val="1"/>
      <w:numFmt w:val="decimal"/>
      <w:lvlText w:val="%1)"/>
      <w:lvlJc w:val="left"/>
      <w:pPr>
        <w:tabs>
          <w:tab w:val="num" w:pos="0"/>
        </w:tabs>
        <w:ind w:left="1620" w:hanging="360"/>
      </w:pPr>
    </w:lvl>
    <w:lvl w:ilvl="1">
      <w:start w:val="1"/>
      <w:numFmt w:val="lowerLetter"/>
      <w:lvlText w:val="%2."/>
      <w:lvlJc w:val="left"/>
      <w:pPr>
        <w:tabs>
          <w:tab w:val="num" w:pos="0"/>
        </w:tabs>
        <w:ind w:left="2340" w:hanging="360"/>
      </w:pPr>
    </w:lvl>
    <w:lvl w:ilvl="2">
      <w:start w:val="1"/>
      <w:numFmt w:val="lowerRoman"/>
      <w:lvlText w:val="%3."/>
      <w:lvlJc w:val="right"/>
      <w:pPr>
        <w:tabs>
          <w:tab w:val="num" w:pos="0"/>
        </w:tabs>
        <w:ind w:left="3060" w:hanging="180"/>
      </w:pPr>
    </w:lvl>
    <w:lvl w:ilvl="3">
      <w:start w:val="1"/>
      <w:numFmt w:val="decimal"/>
      <w:lvlText w:val="%4."/>
      <w:lvlJc w:val="left"/>
      <w:pPr>
        <w:tabs>
          <w:tab w:val="num" w:pos="0"/>
        </w:tabs>
        <w:ind w:left="3780" w:hanging="360"/>
      </w:pPr>
    </w:lvl>
    <w:lvl w:ilvl="4">
      <w:start w:val="1"/>
      <w:numFmt w:val="lowerLetter"/>
      <w:lvlText w:val="%5."/>
      <w:lvlJc w:val="left"/>
      <w:pPr>
        <w:tabs>
          <w:tab w:val="num" w:pos="0"/>
        </w:tabs>
        <w:ind w:left="4500" w:hanging="360"/>
      </w:pPr>
    </w:lvl>
    <w:lvl w:ilvl="5">
      <w:start w:val="1"/>
      <w:numFmt w:val="lowerRoman"/>
      <w:lvlText w:val="%6."/>
      <w:lvlJc w:val="right"/>
      <w:pPr>
        <w:tabs>
          <w:tab w:val="num" w:pos="0"/>
        </w:tabs>
        <w:ind w:left="5220" w:hanging="180"/>
      </w:pPr>
    </w:lvl>
    <w:lvl w:ilvl="6">
      <w:start w:val="1"/>
      <w:numFmt w:val="decimal"/>
      <w:lvlText w:val="%7."/>
      <w:lvlJc w:val="left"/>
      <w:pPr>
        <w:tabs>
          <w:tab w:val="num" w:pos="0"/>
        </w:tabs>
        <w:ind w:left="5940" w:hanging="360"/>
      </w:pPr>
    </w:lvl>
    <w:lvl w:ilvl="7">
      <w:start w:val="1"/>
      <w:numFmt w:val="lowerLetter"/>
      <w:lvlText w:val="%8."/>
      <w:lvlJc w:val="left"/>
      <w:pPr>
        <w:tabs>
          <w:tab w:val="num" w:pos="0"/>
        </w:tabs>
        <w:ind w:left="6660" w:hanging="360"/>
      </w:pPr>
    </w:lvl>
    <w:lvl w:ilvl="8">
      <w:start w:val="1"/>
      <w:numFmt w:val="lowerRoman"/>
      <w:lvlText w:val="%9."/>
      <w:lvlJc w:val="right"/>
      <w:pPr>
        <w:tabs>
          <w:tab w:val="num" w:pos="0"/>
        </w:tabs>
        <w:ind w:left="7380" w:hanging="180"/>
      </w:pPr>
    </w:lvl>
  </w:abstractNum>
  <w:abstractNum w:abstractNumId="5">
    <w:lvl w:ilvl="0">
      <w:start w:val="1"/>
      <w:numFmt w:val="decimal"/>
      <w:lvlText w:val="%1)"/>
      <w:lvlJc w:val="left"/>
      <w:pPr>
        <w:tabs>
          <w:tab w:val="num" w:pos="0"/>
        </w:tabs>
        <w:ind w:left="1800" w:hanging="360"/>
      </w:pPr>
      <w:rPr>
        <w:strike/>
        <w:i w:val="false"/>
        <w:b w:val="false"/>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decimal"/>
      <w:lvlText w:val="%1."/>
      <w:lvlJc w:val="left"/>
      <w:pPr>
        <w:tabs>
          <w:tab w:val="num" w:pos="0"/>
        </w:tabs>
        <w:ind w:left="1778" w:hanging="360"/>
      </w:pPr>
      <w:rPr>
        <w:rFonts w:eastAsia="Times New Roman" w:cs="Arial"/>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9">
    <w:lvl w:ilvl="0">
      <w:start w:val="1"/>
      <w:numFmt w:val="decimal"/>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0">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1">
    <w:lvl w:ilvl="0">
      <w:start w:val="1"/>
      <w:numFmt w:val="decimal"/>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2">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3">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4">
    <w:lvl w:ilvl="0">
      <w:start w:val="1"/>
      <w:numFmt w:val="decimal"/>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5">
    <w:lvl w:ilvl="0">
      <w:start w:val="1"/>
      <w:numFmt w:val="decimal"/>
      <w:lvlText w:val="%1."/>
      <w:lvlJc w:val="left"/>
      <w:pPr>
        <w:tabs>
          <w:tab w:val="num" w:pos="0"/>
        </w:tabs>
        <w:ind w:left="720" w:hanging="360"/>
      </w:pPr>
    </w:lvl>
    <w:lvl w:ilvl="1">
      <w:start w:val="1"/>
      <w:numFmt w:val="decimal"/>
      <w:lvlText w:val="%1.%2."/>
      <w:lvlJc w:val="left"/>
      <w:pPr>
        <w:tabs>
          <w:tab w:val="num" w:pos="0"/>
        </w:tabs>
        <w:ind w:left="1350" w:hanging="720"/>
      </w:pPr>
      <w:rPr>
        <w:sz w:val="22"/>
        <w:i w:val="false"/>
        <w:b w:val="false"/>
        <w:szCs w:val="24"/>
        <w:iCs w:val="false"/>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5"/>
    <w:lvlOverride w:ilvl="0">
      <w:startOverride w:val="1"/>
    </w:lvlOverride>
  </w:num>
  <w:num w:numId="18">
    <w:abstractNumId w:val="15"/>
  </w:num>
  <w:num w:numId="19">
    <w:abstractNumId w:val="15"/>
  </w:num>
  <w:num w:numId="20">
    <w:abstractNumId w:val="15"/>
  </w:num>
</w:numbering>
</file>

<file path=word/settings.xml><?xml version="1.0" encoding="utf-8"?>
<w:settings xmlns:w="http://schemas.openxmlformats.org/wordprocessingml/2006/main">
  <w:zoom w:percent="134"/>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Verdana" w:hAnsi="Verdana" w:eastAsia="Verdana" w:cs="Verdana"/>
      <w:color w:val="auto"/>
      <w:kern w:val="0"/>
      <w:sz w:val="22"/>
      <w:szCs w:val="22"/>
      <w:lang w:val="en-US" w:eastAsia="en-US" w:bidi="ar-SA"/>
    </w:rPr>
  </w:style>
  <w:style w:type="paragraph" w:styleId="Heading1">
    <w:name w:val="Heading 1"/>
    <w:basedOn w:val="Normal"/>
    <w:uiPriority w:val="9"/>
    <w:qFormat/>
    <w:pPr>
      <w:ind w:left="2740" w:right="2739" w:hanging="0"/>
      <w:jc w:val="center"/>
      <w:outlineLvl w:val="0"/>
    </w:pPr>
    <w:rPr>
      <w:b/>
      <w:bCs/>
      <w:sz w:val="32"/>
      <w:szCs w:val="32"/>
    </w:rPr>
  </w:style>
  <w:style w:type="paragraph" w:styleId="Heading2">
    <w:name w:val="Heading 2"/>
    <w:basedOn w:val="Normal"/>
    <w:uiPriority w:val="9"/>
    <w:unhideWhenUsed/>
    <w:qFormat/>
    <w:pPr>
      <w:spacing w:before="157" w:after="0"/>
      <w:ind w:left="794" w:hanging="682"/>
      <w:jc w:val="both"/>
      <w:outlineLvl w:val="1"/>
    </w:pPr>
    <w:rPr>
      <w:b/>
      <w:bCs/>
      <w:sz w:val="20"/>
      <w:szCs w:val="20"/>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unhideWhenUsed/>
    <w:rsid w:val="00dd5002"/>
    <w:rPr>
      <w:color w:val="0000FF" w:themeColor="hyperlink"/>
      <w:u w:val="single"/>
    </w:rPr>
  </w:style>
  <w:style w:type="character" w:styleId="UnresolvedMention">
    <w:name w:val="Unresolved Mention"/>
    <w:basedOn w:val="DefaultParagraphFont"/>
    <w:uiPriority w:val="99"/>
    <w:semiHidden/>
    <w:unhideWhenUsed/>
    <w:qFormat/>
    <w:rsid w:val="00dd5002"/>
    <w:rPr>
      <w:color w:val="605E5C"/>
      <w:shd w:fill="E1DFDD" w:val="clear"/>
    </w:rPr>
  </w:style>
  <w:style w:type="character" w:styleId="HeaderChar" w:customStyle="1">
    <w:name w:val="Header Char"/>
    <w:basedOn w:val="DefaultParagraphFont"/>
    <w:link w:val="Header"/>
    <w:uiPriority w:val="99"/>
    <w:qFormat/>
    <w:rsid w:val="00dd5002"/>
    <w:rPr>
      <w:rFonts w:ascii="Verdana" w:hAnsi="Verdana" w:eastAsia="Verdana" w:cs="Verdana"/>
    </w:rPr>
  </w:style>
  <w:style w:type="character" w:styleId="FooterChar" w:customStyle="1">
    <w:name w:val="Footer Char"/>
    <w:basedOn w:val="DefaultParagraphFont"/>
    <w:link w:val="Footer"/>
    <w:uiPriority w:val="99"/>
    <w:qFormat/>
    <w:rsid w:val="00dd5002"/>
    <w:rPr>
      <w:rFonts w:ascii="Verdana" w:hAnsi="Verdana" w:eastAsia="Verdana" w:cs="Verdana"/>
    </w:rPr>
  </w:style>
  <w:style w:type="character" w:styleId="ListParagraphChar" w:customStyle="1">
    <w:name w:val="List Paragraph Char"/>
    <w:link w:val="ListParagraph"/>
    <w:uiPriority w:val="34"/>
    <w:qFormat/>
    <w:locked/>
    <w:rsid w:val="00d54cbb"/>
    <w:rPr>
      <w:rFonts w:ascii="Verdana" w:hAnsi="Verdana" w:eastAsia="Verdana" w:cs="Verdana"/>
    </w:rPr>
  </w:style>
  <w:style w:type="character" w:styleId="NoSpacingChar" w:customStyle="1">
    <w:name w:val="No Spacing Char"/>
    <w:link w:val="NoSpacing"/>
    <w:uiPriority w:val="1"/>
    <w:qFormat/>
    <w:locked/>
    <w:rsid w:val="00d54cbb"/>
    <w:rPr>
      <w:rFonts w:ascii="Arial" w:hAnsi="Arial" w:eastAsia="Times New Roman" w:cs="Arial"/>
      <w:sz w:val="24"/>
      <w:szCs w:val="24"/>
    </w:rPr>
  </w:style>
  <w:style w:type="paragraph" w:styleId="Heading" w:customStyle="1">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uiPriority w:val="1"/>
    <w:qFormat/>
    <w:pPr>
      <w:ind w:left="794" w:hanging="0"/>
      <w:jc w:val="both"/>
    </w:pPr>
    <w:rPr>
      <w:sz w:val="20"/>
      <w:szCs w:val="20"/>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qFormat/>
    <w:pPr>
      <w:suppressLineNumbers/>
    </w:pPr>
    <w:rPr>
      <w:rFonts w:cs="Lucida Sans"/>
    </w:rPr>
  </w:style>
  <w:style w:type="paragraph" w:styleId="Caption1">
    <w:name w:val="caption"/>
    <w:basedOn w:val="Normal"/>
    <w:qFormat/>
    <w:pPr>
      <w:suppressLineNumbers/>
      <w:spacing w:before="120" w:after="120"/>
    </w:pPr>
    <w:rPr>
      <w:rFonts w:cs="Lucida Sans"/>
      <w:i/>
      <w:iCs/>
      <w:sz w:val="24"/>
      <w:szCs w:val="24"/>
    </w:rPr>
  </w:style>
  <w:style w:type="paragraph" w:styleId="ListParagraph">
    <w:name w:val="List Paragraph"/>
    <w:basedOn w:val="Normal"/>
    <w:link w:val="ListParagraphChar"/>
    <w:uiPriority w:val="34"/>
    <w:qFormat/>
    <w:pPr>
      <w:spacing w:before="157" w:after="0"/>
      <w:ind w:left="794" w:hanging="682"/>
      <w:jc w:val="both"/>
    </w:pPr>
    <w:rPr/>
  </w:style>
  <w:style w:type="paragraph" w:styleId="TableParagraph" w:customStyle="1">
    <w:name w:val="Table Paragraph"/>
    <w:basedOn w:val="Normal"/>
    <w:uiPriority w:val="1"/>
    <w:qFormat/>
    <w:pPr>
      <w:spacing w:before="157" w:after="0"/>
      <w:ind w:left="107" w:hanging="0"/>
    </w:pPr>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dd5002"/>
    <w:pPr>
      <w:tabs>
        <w:tab w:val="clear" w:pos="720"/>
        <w:tab w:val="center" w:pos="4513" w:leader="none"/>
        <w:tab w:val="right" w:pos="9026" w:leader="none"/>
      </w:tabs>
    </w:pPr>
    <w:rPr/>
  </w:style>
  <w:style w:type="paragraph" w:styleId="Footer">
    <w:name w:val="Footer"/>
    <w:basedOn w:val="Normal"/>
    <w:link w:val="FooterChar"/>
    <w:uiPriority w:val="99"/>
    <w:unhideWhenUsed/>
    <w:rsid w:val="00dd5002"/>
    <w:pPr>
      <w:tabs>
        <w:tab w:val="clear" w:pos="720"/>
        <w:tab w:val="center" w:pos="4513" w:leader="none"/>
        <w:tab w:val="right" w:pos="9026" w:leader="none"/>
      </w:tabs>
    </w:pPr>
    <w:rPr/>
  </w:style>
  <w:style w:type="paragraph" w:styleId="NoSpacing">
    <w:name w:val="No Spacing"/>
    <w:link w:val="NoSpacingChar"/>
    <w:uiPriority w:val="1"/>
    <w:qFormat/>
    <w:rsid w:val="00d54cbb"/>
    <w:pPr>
      <w:widowControl/>
      <w:suppressAutoHyphens w:val="true"/>
      <w:bidi w:val="0"/>
      <w:spacing w:before="0" w:after="0"/>
      <w:jc w:val="left"/>
    </w:pPr>
    <w:rPr>
      <w:rFonts w:ascii="Arial" w:hAnsi="Arial" w:eastAsia="Times New Roman" w:cs="Arial"/>
      <w:color w:val="auto"/>
      <w:kern w:val="0"/>
      <w:sz w:val="24"/>
      <w:szCs w:val="24"/>
      <w:lang w:val="en-US"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ruma.rs/" TargetMode="External"/><Relationship Id="rId3" Type="http://schemas.openxmlformats.org/officeDocument/2006/relationships/hyperlink" Target="mailto:jnbruma@ruma.rs"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Application>LibreOffice/6.4.7.2$Windows_X86_64 LibreOffice_project/639b8ac485750d5696d7590a72ef1b496725cfb5</Application>
  <Pages>8</Pages>
  <Words>3272</Words>
  <Characters>17449</Characters>
  <CharactersWithSpaces>20686</CharactersWithSpaces>
  <Paragraphs>116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2023-08-21T04:07:00Z</dcterms:created>
  <dc:creator>Lekic</dc:creator>
  <dc:description/>
  <dc:language>sr-Latn-RS</dc:language>
  <cp:lastModifiedBy/>
  <dcterms:modified xsi:type="dcterms:W3CDTF">2023-09-07T11:39:52Z</dcterms:modified>
  <cp:revision>6</cp:revision>
  <dc:subject/>
  <dc:title>Microsoft Word - Javni poziv prevoz Leskovac Sluzbeni glasnik</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2023-08-03T00:00:00Z</vt:filetime>
  </property>
  <property fmtid="{D5CDD505-2E9C-101B-9397-08002B2CF9AE}" pid="4" name="Creator">
    <vt:lpwstr>PScript5.dll Version 5.2.2</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2023-08-14T00:00:00Z</vt:filetime>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